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3740A">
      <w:pPr>
        <w:jc w:val="center"/>
        <w:rPr>
          <w:rFonts w:cs="宋体" w:asciiTheme="minorEastAsia" w:hAnsiTheme="minorEastAsia" w:eastAsiaTheme="minorEastAsia"/>
          <w:color w:val="000000"/>
          <w:kern w:val="0"/>
          <w:sz w:val="24"/>
        </w:rPr>
      </w:pPr>
      <w:bookmarkStart w:id="13" w:name="_GoBack"/>
      <w:bookmarkEnd w:id="13"/>
    </w:p>
    <w:p w14:paraId="538FBDAF">
      <w:pPr>
        <w:jc w:val="center"/>
        <w:rPr>
          <w:rFonts w:cs="宋体" w:asciiTheme="minorEastAsia" w:hAnsiTheme="minorEastAsia" w:eastAsiaTheme="minorEastAsia"/>
          <w:color w:val="000000"/>
          <w:kern w:val="0"/>
          <w:sz w:val="24"/>
        </w:rPr>
      </w:pPr>
    </w:p>
    <w:p w14:paraId="5C5BBC6E">
      <w:pPr>
        <w:jc w:val="center"/>
        <w:rPr>
          <w:rFonts w:cs="宋体" w:asciiTheme="minorEastAsia" w:hAnsiTheme="minorEastAsia" w:eastAsiaTheme="minorEastAsia"/>
          <w:color w:val="000000"/>
          <w:kern w:val="0"/>
          <w:sz w:val="24"/>
        </w:rPr>
      </w:pPr>
    </w:p>
    <w:p w14:paraId="18DA14F5">
      <w:pPr>
        <w:jc w:val="center"/>
        <w:rPr>
          <w:rFonts w:cs="宋体" w:asciiTheme="minorEastAsia" w:hAnsiTheme="minorEastAsia" w:eastAsiaTheme="minorEastAsia"/>
          <w:color w:val="000000"/>
          <w:kern w:val="0"/>
          <w:sz w:val="24"/>
        </w:rPr>
      </w:pPr>
    </w:p>
    <w:p w14:paraId="7BEC5056">
      <w:pPr>
        <w:jc w:val="center"/>
        <w:rPr>
          <w:rFonts w:cs="宋体" w:asciiTheme="minorEastAsia" w:hAnsiTheme="minorEastAsia" w:eastAsiaTheme="minorEastAsia"/>
          <w:color w:val="000000"/>
          <w:kern w:val="0"/>
          <w:sz w:val="24"/>
        </w:rPr>
      </w:pPr>
    </w:p>
    <w:p w14:paraId="24CFF72F">
      <w:pPr>
        <w:jc w:val="center"/>
        <w:rPr>
          <w:rFonts w:cs="宋体" w:asciiTheme="minorEastAsia" w:hAnsiTheme="minorEastAsia" w:eastAsiaTheme="minorEastAsia"/>
          <w:color w:val="000000"/>
          <w:kern w:val="0"/>
          <w:sz w:val="24"/>
        </w:rPr>
      </w:pPr>
    </w:p>
    <w:p w14:paraId="119D81C5">
      <w:pPr>
        <w:jc w:val="center"/>
        <w:rPr>
          <w:rFonts w:cs="宋体" w:asciiTheme="minorEastAsia" w:hAnsiTheme="minorEastAsia" w:eastAsiaTheme="minorEastAsia"/>
          <w:color w:val="000000"/>
          <w:kern w:val="0"/>
          <w:sz w:val="24"/>
        </w:rPr>
      </w:pPr>
    </w:p>
    <w:p w14:paraId="164D0C0E">
      <w:pPr>
        <w:jc w:val="center"/>
        <w:rPr>
          <w:rFonts w:cs="宋体" w:asciiTheme="minorEastAsia" w:hAnsiTheme="minorEastAsia" w:eastAsiaTheme="minorEastAsia"/>
          <w:color w:val="000000"/>
          <w:kern w:val="0"/>
          <w:sz w:val="52"/>
          <w:szCs w:val="52"/>
        </w:rPr>
      </w:pPr>
      <w:r>
        <w:rPr>
          <w:rFonts w:hint="eastAsia" w:cs="宋体" w:asciiTheme="minorEastAsia" w:hAnsiTheme="minorEastAsia" w:eastAsiaTheme="minorEastAsia"/>
          <w:color w:val="000000"/>
          <w:kern w:val="0"/>
          <w:sz w:val="52"/>
          <w:szCs w:val="52"/>
        </w:rPr>
        <w:t>2023年度企业质量信用报告</w:t>
      </w:r>
    </w:p>
    <w:p w14:paraId="63F13F8A">
      <w:pPr>
        <w:jc w:val="center"/>
        <w:rPr>
          <w:rFonts w:cs="宋体" w:asciiTheme="minorEastAsia" w:hAnsiTheme="minorEastAsia" w:eastAsiaTheme="minorEastAsia"/>
          <w:color w:val="000000"/>
          <w:kern w:val="0"/>
          <w:sz w:val="24"/>
        </w:rPr>
      </w:pPr>
    </w:p>
    <w:p w14:paraId="75E4E791">
      <w:pPr>
        <w:jc w:val="center"/>
        <w:rPr>
          <w:rFonts w:cs="宋体" w:asciiTheme="minorEastAsia" w:hAnsiTheme="minorEastAsia" w:eastAsiaTheme="minorEastAsia"/>
          <w:color w:val="000000"/>
          <w:kern w:val="0"/>
          <w:sz w:val="24"/>
        </w:rPr>
      </w:pPr>
    </w:p>
    <w:p w14:paraId="749BC13A">
      <w:pPr>
        <w:jc w:val="center"/>
        <w:rPr>
          <w:rFonts w:cs="宋体" w:asciiTheme="minorEastAsia" w:hAnsiTheme="minorEastAsia" w:eastAsiaTheme="minorEastAsia"/>
          <w:color w:val="000000"/>
          <w:kern w:val="0"/>
          <w:sz w:val="24"/>
        </w:rPr>
      </w:pPr>
    </w:p>
    <w:p w14:paraId="56C115CC">
      <w:pPr>
        <w:jc w:val="center"/>
        <w:rPr>
          <w:rFonts w:cs="宋体" w:asciiTheme="minorEastAsia" w:hAnsiTheme="minorEastAsia" w:eastAsiaTheme="minorEastAsia"/>
          <w:color w:val="000000"/>
          <w:kern w:val="0"/>
          <w:sz w:val="24"/>
        </w:rPr>
      </w:pPr>
    </w:p>
    <w:p w14:paraId="0205F67A">
      <w:pPr>
        <w:jc w:val="center"/>
        <w:rPr>
          <w:rFonts w:cs="宋体" w:asciiTheme="minorEastAsia" w:hAnsiTheme="minorEastAsia" w:eastAsiaTheme="minorEastAsia"/>
          <w:color w:val="000000"/>
          <w:kern w:val="0"/>
          <w:sz w:val="24"/>
        </w:rPr>
      </w:pPr>
    </w:p>
    <w:p w14:paraId="44F3C5DF">
      <w:pPr>
        <w:jc w:val="center"/>
        <w:rPr>
          <w:rFonts w:cs="宋体" w:asciiTheme="minorEastAsia" w:hAnsiTheme="minorEastAsia" w:eastAsiaTheme="minorEastAsia"/>
          <w:color w:val="000000"/>
          <w:kern w:val="0"/>
          <w:sz w:val="24"/>
        </w:rPr>
      </w:pPr>
    </w:p>
    <w:p w14:paraId="6702E725">
      <w:pPr>
        <w:jc w:val="center"/>
        <w:rPr>
          <w:rFonts w:cs="宋体" w:asciiTheme="minorEastAsia" w:hAnsiTheme="minorEastAsia" w:eastAsiaTheme="minorEastAsia"/>
          <w:color w:val="000000"/>
          <w:kern w:val="0"/>
          <w:sz w:val="24"/>
        </w:rPr>
      </w:pPr>
    </w:p>
    <w:p w14:paraId="080A27BC">
      <w:pPr>
        <w:jc w:val="center"/>
        <w:rPr>
          <w:rFonts w:cs="宋体" w:asciiTheme="minorEastAsia" w:hAnsiTheme="minorEastAsia" w:eastAsiaTheme="minorEastAsia"/>
          <w:color w:val="000000"/>
          <w:kern w:val="0"/>
          <w:sz w:val="24"/>
        </w:rPr>
      </w:pPr>
    </w:p>
    <w:p w14:paraId="5BBCDC44">
      <w:pPr>
        <w:jc w:val="center"/>
        <w:rPr>
          <w:rFonts w:cs="宋体" w:asciiTheme="minorEastAsia" w:hAnsiTheme="minorEastAsia" w:eastAsiaTheme="minorEastAsia"/>
          <w:color w:val="000000"/>
          <w:kern w:val="0"/>
          <w:sz w:val="24"/>
        </w:rPr>
      </w:pPr>
    </w:p>
    <w:p w14:paraId="10B89612">
      <w:pPr>
        <w:jc w:val="center"/>
        <w:rPr>
          <w:rFonts w:cs="宋体" w:asciiTheme="minorEastAsia" w:hAnsiTheme="minorEastAsia" w:eastAsiaTheme="minorEastAsia"/>
          <w:color w:val="000000"/>
          <w:kern w:val="0"/>
          <w:sz w:val="24"/>
        </w:rPr>
      </w:pPr>
    </w:p>
    <w:p w14:paraId="6E76C1D2">
      <w:pPr>
        <w:jc w:val="center"/>
        <w:rPr>
          <w:rFonts w:cs="宋体" w:asciiTheme="minorEastAsia" w:hAnsiTheme="minorEastAsia" w:eastAsiaTheme="minorEastAsia"/>
          <w:color w:val="000000"/>
          <w:kern w:val="0"/>
          <w:sz w:val="24"/>
        </w:rPr>
      </w:pPr>
    </w:p>
    <w:p w14:paraId="6ED83EAD">
      <w:pPr>
        <w:jc w:val="center"/>
        <w:rPr>
          <w:rFonts w:cs="宋体" w:asciiTheme="minorEastAsia" w:hAnsiTheme="minorEastAsia" w:eastAsiaTheme="minorEastAsia"/>
          <w:color w:val="000000"/>
          <w:kern w:val="0"/>
          <w:sz w:val="24"/>
        </w:rPr>
      </w:pPr>
    </w:p>
    <w:p w14:paraId="3DE42E7B">
      <w:pPr>
        <w:jc w:val="center"/>
        <w:rPr>
          <w:rFonts w:cs="宋体" w:asciiTheme="minorEastAsia" w:hAnsiTheme="minorEastAsia" w:eastAsiaTheme="minorEastAsia"/>
          <w:color w:val="000000"/>
          <w:kern w:val="0"/>
          <w:sz w:val="24"/>
        </w:rPr>
      </w:pPr>
    </w:p>
    <w:p w14:paraId="39C66110">
      <w:pPr>
        <w:jc w:val="center"/>
        <w:rPr>
          <w:rFonts w:cs="宋体" w:asciiTheme="minorEastAsia" w:hAnsiTheme="minorEastAsia" w:eastAsiaTheme="minorEastAsia"/>
          <w:color w:val="000000"/>
          <w:kern w:val="0"/>
          <w:sz w:val="24"/>
        </w:rPr>
      </w:pPr>
    </w:p>
    <w:p w14:paraId="50524BA9">
      <w:pPr>
        <w:jc w:val="center"/>
        <w:rPr>
          <w:rFonts w:cs="宋体" w:asciiTheme="minorEastAsia" w:hAnsiTheme="minorEastAsia" w:eastAsiaTheme="minorEastAsia"/>
          <w:color w:val="000000"/>
          <w:kern w:val="0"/>
          <w:sz w:val="24"/>
        </w:rPr>
      </w:pPr>
    </w:p>
    <w:p w14:paraId="04FA946E">
      <w:pPr>
        <w:jc w:val="center"/>
        <w:rPr>
          <w:rFonts w:cs="宋体" w:asciiTheme="minorEastAsia" w:hAnsiTheme="minorEastAsia" w:eastAsiaTheme="minorEastAsia"/>
          <w:color w:val="000000"/>
          <w:kern w:val="0"/>
          <w:sz w:val="24"/>
        </w:rPr>
      </w:pPr>
    </w:p>
    <w:p w14:paraId="720D83CD">
      <w:pPr>
        <w:jc w:val="center"/>
        <w:rPr>
          <w:rFonts w:cs="宋体" w:asciiTheme="minorEastAsia" w:hAnsiTheme="minorEastAsia" w:eastAsiaTheme="minorEastAsia"/>
          <w:color w:val="000000"/>
          <w:kern w:val="0"/>
          <w:sz w:val="24"/>
        </w:rPr>
      </w:pPr>
    </w:p>
    <w:p w14:paraId="7F4868A0">
      <w:pPr>
        <w:jc w:val="center"/>
        <w:rPr>
          <w:rFonts w:cs="宋体" w:asciiTheme="minorEastAsia" w:hAnsiTheme="minorEastAsia" w:eastAsiaTheme="minorEastAsia"/>
          <w:color w:val="000000"/>
          <w:kern w:val="0"/>
          <w:sz w:val="24"/>
        </w:rPr>
      </w:pPr>
    </w:p>
    <w:p w14:paraId="75E03A01">
      <w:pPr>
        <w:jc w:val="center"/>
        <w:rPr>
          <w:rFonts w:cs="宋体" w:asciiTheme="minorEastAsia" w:hAnsiTheme="minorEastAsia" w:eastAsiaTheme="minorEastAsia"/>
          <w:color w:val="000000"/>
          <w:kern w:val="0"/>
          <w:sz w:val="24"/>
        </w:rPr>
      </w:pPr>
    </w:p>
    <w:p w14:paraId="0252D69E">
      <w:pPr>
        <w:jc w:val="center"/>
        <w:rPr>
          <w:rFonts w:cs="宋体" w:asciiTheme="minorEastAsia" w:hAnsiTheme="minorEastAsia" w:eastAsiaTheme="minorEastAsia"/>
          <w:color w:val="000000"/>
          <w:kern w:val="0"/>
          <w:sz w:val="24"/>
        </w:rPr>
      </w:pPr>
    </w:p>
    <w:p w14:paraId="77C307CD">
      <w:pPr>
        <w:jc w:val="center"/>
        <w:rPr>
          <w:rFonts w:cs="宋体" w:asciiTheme="minorEastAsia" w:hAnsiTheme="minorEastAsia" w:eastAsiaTheme="minorEastAsia"/>
          <w:color w:val="000000"/>
          <w:kern w:val="0"/>
          <w:sz w:val="24"/>
        </w:rPr>
      </w:pPr>
    </w:p>
    <w:p w14:paraId="17B4FFE8">
      <w:pPr>
        <w:jc w:val="center"/>
        <w:rPr>
          <w:rFonts w:cs="宋体" w:asciiTheme="minorEastAsia" w:hAnsiTheme="minorEastAsia" w:eastAsiaTheme="minorEastAsia"/>
          <w:color w:val="000000"/>
          <w:kern w:val="0"/>
          <w:sz w:val="24"/>
        </w:rPr>
      </w:pPr>
    </w:p>
    <w:p w14:paraId="5250EEB9">
      <w:pPr>
        <w:jc w:val="center"/>
        <w:rPr>
          <w:rFonts w:cs="宋体" w:asciiTheme="minorEastAsia" w:hAnsiTheme="minorEastAsia" w:eastAsiaTheme="minorEastAsia"/>
          <w:color w:val="000000"/>
          <w:kern w:val="0"/>
          <w:sz w:val="24"/>
        </w:rPr>
      </w:pPr>
    </w:p>
    <w:p w14:paraId="29C5A908">
      <w:pPr>
        <w:jc w:val="center"/>
        <w:rPr>
          <w:rFonts w:cs="宋体" w:asciiTheme="minorEastAsia" w:hAnsiTheme="minorEastAsia" w:eastAsiaTheme="minorEastAsia"/>
          <w:color w:val="000000"/>
          <w:kern w:val="0"/>
          <w:sz w:val="24"/>
        </w:rPr>
      </w:pPr>
    </w:p>
    <w:p w14:paraId="2D479F15">
      <w:pPr>
        <w:jc w:val="center"/>
        <w:rPr>
          <w:rFonts w:asciiTheme="minorEastAsia" w:hAnsiTheme="minorEastAsia" w:eastAsiaTheme="minorEastAsia"/>
          <w:color w:val="000000"/>
          <w:sz w:val="32"/>
        </w:rPr>
      </w:pPr>
      <w:r>
        <w:rPr>
          <w:rFonts w:hint="eastAsia" w:asciiTheme="minorEastAsia" w:hAnsiTheme="minorEastAsia" w:eastAsiaTheme="minorEastAsia"/>
          <w:color w:val="000000"/>
          <w:sz w:val="32"/>
        </w:rPr>
        <w:t>浙江惠创风机有限公司</w:t>
      </w:r>
    </w:p>
    <w:p w14:paraId="76DBA39D">
      <w:pPr>
        <w:jc w:val="center"/>
        <w:rPr>
          <w:rFonts w:cs="宋体" w:asciiTheme="minorEastAsia" w:hAnsiTheme="minorEastAsia" w:eastAsiaTheme="minorEastAsia"/>
          <w:color w:val="000000"/>
          <w:kern w:val="0"/>
          <w:sz w:val="32"/>
        </w:rPr>
      </w:pPr>
      <w:r>
        <w:rPr>
          <w:rFonts w:hint="eastAsia" w:cs="宋体" w:asciiTheme="minorEastAsia" w:hAnsiTheme="minorEastAsia" w:eastAsiaTheme="minorEastAsia"/>
          <w:color w:val="000000"/>
          <w:kern w:val="0"/>
          <w:sz w:val="32"/>
        </w:rPr>
        <w:t>2024年2月</w:t>
      </w:r>
    </w:p>
    <w:p w14:paraId="460CF02F">
      <w:pPr>
        <w:rPr>
          <w:rFonts w:cs="宋体" w:asciiTheme="minorEastAsia" w:hAnsiTheme="minorEastAsia" w:eastAsiaTheme="minorEastAsia"/>
          <w:color w:val="000000"/>
          <w:kern w:val="0"/>
          <w:sz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3BFC4EF">
      <w:pPr>
        <w:spacing w:line="360" w:lineRule="exact"/>
        <w:ind w:firstLine="480" w:firstLineChars="20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第一部分报告前言</w:t>
      </w:r>
    </w:p>
    <w:p w14:paraId="39D6527E">
      <w:pPr>
        <w:rPr>
          <w:rFonts w:asciiTheme="minorEastAsia" w:hAnsiTheme="minorEastAsia" w:eastAsiaTheme="minorEastAsia"/>
          <w:color w:val="000000"/>
          <w:sz w:val="24"/>
        </w:rPr>
      </w:pPr>
      <w:r>
        <w:rPr>
          <w:rFonts w:hint="eastAsia" w:asciiTheme="minorEastAsia" w:hAnsiTheme="minorEastAsia" w:eastAsiaTheme="minorEastAsia"/>
          <w:color w:val="000000"/>
          <w:sz w:val="24"/>
        </w:rPr>
        <w:t>一、报告编制规范</w:t>
      </w:r>
    </w:p>
    <w:p w14:paraId="7AF14FE7">
      <w:pPr>
        <w:spacing w:line="36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本公司保证报告所公布的质量诚信体系建设情况不存在任何误导性陈述及虚假情况，并对其内容的客观性、真实性负责。</w:t>
      </w:r>
    </w:p>
    <w:p w14:paraId="26BA038C">
      <w:pPr>
        <w:spacing w:line="36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报告组织范围：浙江惠创风机有限公司</w:t>
      </w:r>
    </w:p>
    <w:p w14:paraId="436D9736">
      <w:pPr>
        <w:spacing w:line="36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报告发布时间：2024年2月</w:t>
      </w:r>
    </w:p>
    <w:p w14:paraId="676D7530">
      <w:pPr>
        <w:spacing w:line="36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报告发布周期：1 次/年</w:t>
      </w:r>
    </w:p>
    <w:p w14:paraId="610A1CE0">
      <w:pPr>
        <w:spacing w:line="36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报告数据说明：报告内所涉及数据来源于公司，数据真实、有效。</w:t>
      </w:r>
    </w:p>
    <w:p w14:paraId="7EBDD545">
      <w:pPr>
        <w:spacing w:line="360" w:lineRule="exact"/>
        <w:ind w:firstLine="480" w:firstLineChars="200"/>
        <w:rPr>
          <w:rFonts w:cs="宋体" w:asciiTheme="minorEastAsia" w:hAnsiTheme="minorEastAsia" w:eastAsiaTheme="minorEastAsia"/>
          <w:color w:val="000000"/>
          <w:kern w:val="0"/>
          <w:sz w:val="24"/>
        </w:rPr>
      </w:pPr>
    </w:p>
    <w:p w14:paraId="141CBCD4">
      <w:pPr>
        <w:spacing w:line="360" w:lineRule="exact"/>
        <w:ind w:firstLine="480" w:firstLineChars="200"/>
        <w:rPr>
          <w:rFonts w:cs="宋体" w:asciiTheme="minorEastAsia" w:hAnsiTheme="minorEastAsia" w:eastAsiaTheme="minorEastAsia"/>
          <w:color w:val="000000"/>
          <w:kern w:val="0"/>
          <w:sz w:val="24"/>
        </w:rPr>
      </w:pPr>
    </w:p>
    <w:p w14:paraId="461EAF3F">
      <w:pPr>
        <w:rPr>
          <w:rFonts w:ascii="宋体" w:hAnsi="宋体"/>
          <w:sz w:val="24"/>
        </w:rPr>
      </w:pPr>
      <w:r>
        <w:rPr>
          <w:rFonts w:hint="eastAsia" w:asciiTheme="minorEastAsia" w:hAnsiTheme="minorEastAsia" w:eastAsiaTheme="minorEastAsia"/>
          <w:color w:val="000000"/>
          <w:sz w:val="24"/>
        </w:rPr>
        <w:t>二、企业介绍</w:t>
      </w:r>
    </w:p>
    <w:p w14:paraId="4AEF7D83">
      <w:pPr>
        <w:spacing w:line="400" w:lineRule="exact"/>
        <w:ind w:firstLine="480" w:firstLineChars="200"/>
        <w:rPr>
          <w:color w:val="000000"/>
          <w:sz w:val="24"/>
        </w:rPr>
      </w:pPr>
      <w:r>
        <w:rPr>
          <w:rFonts w:hint="eastAsia"/>
          <w:color w:val="000000"/>
          <w:sz w:val="24"/>
        </w:rPr>
        <w:t>浙江惠创风机有限公司是一家致力于研制开发各类优质、节能和环保风机及通风系统领先解决方案的国家高新技术企业，公司成立于1999年，前身是上虞市贝斯特风机有限公司，属中国通用机械工业协会风机分会会员单位。近年来公司加快新品研发和基础实施的投入，现已具备年产十多万台（套）各类优质风机及成套设备的生产能力，研制“惠创”牌三十余大系列、一千多个品种规格的风机及风冷设备，如消防排烟专用风机、消防两用柜式离心风机、隧道射流风机、地铁风机、轴流风机、混（斜）流风机、风机箱、智能诱导风机、静音风机、防腐风机、防爆风机、冷却风机、高温风机、除尘风机、排油烟风机、空调风机、铝制屋顶风机、壁式风机、管道风机、各类工业离心风机及其它专用风机等，广泛应用于民用地产建筑、工业厂房、地铁、公路隧道及机械、暖通、制冷、电力、电子、钢铁、石油、天然气、橡胶、化工、医药、烟草及仓储物流、餐饮、宾馆（酒店）、商场（超市）服务等领域和行业。产口以其节能环保、外形美观、性能优良、运行可靠等优点在国内拥有较高的知名度和市场占有率，现正积极参与中国实施的“一带一路”战略，将产品推向欧亚和中东各国。公司切实推行并通过ISO9001国际质量管理体系、ISO14001国际环境管理体系、ISO45001职业健康管理体系、获“国家高新技术企业”、“全国工业产品生产许可证”及“中国国家强制性产品CCC认证”，“惠创”品牌系列风机被国家有关部门认定为“绍兴名牌产品”。</w:t>
      </w:r>
    </w:p>
    <w:p w14:paraId="4D7E33A7">
      <w:pPr>
        <w:spacing w:line="400" w:lineRule="exact"/>
        <w:ind w:firstLine="480" w:firstLineChars="200"/>
        <w:rPr>
          <w:color w:val="000000"/>
          <w:sz w:val="24"/>
        </w:rPr>
      </w:pPr>
      <w:r>
        <w:rPr>
          <w:rFonts w:hint="eastAsia"/>
          <w:color w:val="000000"/>
          <w:sz w:val="24"/>
        </w:rPr>
        <w:t>公司坚持走科研和创新之路，长期以来与上海交通大学、浙江大学等院校和科研单位合作，以市场为导向开发成功各类风机新产品已获得多项国家专利。公司与上海交通大学共同研制的具有国内领先水平的通风机空气动力性能试验检测中心，获得国家空调设备质量监督检验中心认证。公司秉承“以人为本、客户至上”的经营理念，打造“诚信、务实、创新、和谐”的企业文化，多次获得有关部门“守合同重信用单位”、“浙江省科技型企业”、“绍兴市专利示范企业”、“中国电子商务诚信企业”及金融机构“信用等级AAA级”等荣誉称号。“惠创”将以“崇尚科技创新、追求低碳环保、打造卓越品质、引领风机产业”为己任，坚持</w:t>
      </w:r>
      <w:r>
        <w:rPr>
          <w:color w:val="000000"/>
          <w:sz w:val="24"/>
        </w:rPr>
        <w:t>不懈地致力于风机行业的产业升级和科技创新，为中国</w:t>
      </w:r>
      <w:r>
        <w:rPr>
          <w:rFonts w:hint="eastAsia"/>
          <w:color w:val="000000"/>
          <w:sz w:val="24"/>
        </w:rPr>
        <w:t>高端装备</w:t>
      </w:r>
      <w:r>
        <w:rPr>
          <w:color w:val="000000"/>
          <w:sz w:val="24"/>
        </w:rPr>
        <w:t>制造业</w:t>
      </w:r>
      <w:r>
        <w:rPr>
          <w:rFonts w:hint="eastAsia"/>
          <w:color w:val="000000"/>
          <w:sz w:val="24"/>
        </w:rPr>
        <w:t>走向世界</w:t>
      </w:r>
      <w:r>
        <w:rPr>
          <w:color w:val="000000"/>
          <w:sz w:val="24"/>
        </w:rPr>
        <w:t xml:space="preserve">作出贡献。 </w:t>
      </w:r>
    </w:p>
    <w:p w14:paraId="4D1FE8F7">
      <w:pPr>
        <w:pStyle w:val="37"/>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20"/>
        <w:jc w:val="both"/>
        <w:rPr>
          <w:rFonts w:hint="default" w:ascii="Times New Roman" w:hAnsi="Times New Roman" w:eastAsia="宋体" w:cs="Times New Roman"/>
          <w:kern w:val="2"/>
          <w:sz w:val="24"/>
          <w:szCs w:val="24"/>
          <w:lang w:val="en-US"/>
        </w:rPr>
      </w:pPr>
      <w:r>
        <w:rPr>
          <w:rFonts w:ascii="Times New Roman" w:hAnsi="Times New Roman" w:eastAsia="宋体" w:cs="Times New Roman"/>
          <w:kern w:val="2"/>
          <w:sz w:val="24"/>
          <w:szCs w:val="24"/>
          <w:lang w:val="en-US"/>
        </w:rPr>
        <w:t>公司坚持科技兴厂，以客户为中心，关注客户长期发展趋势和需求</w:t>
      </w:r>
      <w:r>
        <w:rPr>
          <w:rFonts w:ascii="Times New Roman" w:hAnsi="Times New Roman" w:eastAsia="宋体" w:cs="Times New Roman"/>
          <w:kern w:val="2"/>
          <w:sz w:val="24"/>
          <w:szCs w:val="24"/>
        </w:rPr>
        <w:t>；</w:t>
      </w:r>
      <w:r>
        <w:rPr>
          <w:rFonts w:ascii="Times New Roman" w:hAnsi="Times New Roman" w:eastAsia="宋体" w:cs="Times New Roman"/>
          <w:kern w:val="2"/>
          <w:sz w:val="24"/>
          <w:szCs w:val="24"/>
          <w:lang w:val="en-US"/>
        </w:rPr>
        <w:t>为员工提供健康安全的工作环境和有效防护，保护员工的身心健康，营造安全文化；构建公平、公正的评价机制和激励机制；始终保持危机意识，时刻准备超越自我，脚踏实地、锐意进取，与合作伙伴互惠互利，与同行竞合发展。</w:t>
      </w:r>
    </w:p>
    <w:p w14:paraId="45E471E6">
      <w:pPr>
        <w:snapToGrid w:val="0"/>
        <w:spacing w:line="500" w:lineRule="exact"/>
        <w:ind w:firstLine="481"/>
        <w:jc w:val="left"/>
        <w:rPr>
          <w:rFonts w:ascii="宋体" w:hAnsi="宋体"/>
          <w:sz w:val="24"/>
          <w:lang w:eastAsia="zh-TW"/>
        </w:rPr>
      </w:pPr>
    </w:p>
    <w:p w14:paraId="1B633B7F">
      <w:pPr>
        <w:widowControl/>
        <w:jc w:val="left"/>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br w:type="page"/>
      </w:r>
    </w:p>
    <w:p w14:paraId="607D5D5E">
      <w:pPr>
        <w:jc w:val="center"/>
        <w:rPr>
          <w:rFonts w:cs="宋体" w:asciiTheme="minorEastAsia" w:hAnsiTheme="minorEastAsia" w:eastAsiaTheme="minorEastAsia"/>
          <w:color w:val="000000"/>
          <w:kern w:val="0"/>
          <w:sz w:val="32"/>
        </w:rPr>
      </w:pPr>
      <w:r>
        <w:rPr>
          <w:rFonts w:hint="eastAsia" w:cs="宋体" w:asciiTheme="minorEastAsia" w:hAnsiTheme="minorEastAsia" w:eastAsiaTheme="minorEastAsia"/>
          <w:color w:val="000000"/>
          <w:kern w:val="0"/>
          <w:sz w:val="32"/>
        </w:rPr>
        <w:t>目录</w:t>
      </w:r>
    </w:p>
    <w:p w14:paraId="577B98C8">
      <w:pPr>
        <w:pStyle w:val="14"/>
        <w:tabs>
          <w:tab w:val="right" w:leader="dot" w:pos="8303"/>
        </w:tabs>
        <w:rPr>
          <w:kern w:val="2"/>
          <w:sz w:val="21"/>
        </w:rPr>
      </w:pPr>
      <w:r>
        <w:rPr>
          <w:rFonts w:asciiTheme="minorEastAsia" w:hAnsiTheme="minorEastAsia"/>
          <w:b/>
          <w:color w:val="000000"/>
          <w:sz w:val="24"/>
          <w:szCs w:val="24"/>
        </w:rPr>
        <w:fldChar w:fldCharType="begin"/>
      </w:r>
      <w:r>
        <w:rPr>
          <w:rFonts w:asciiTheme="minorEastAsia" w:hAnsiTheme="minorEastAsia"/>
          <w:color w:val="000000"/>
          <w:sz w:val="24"/>
          <w:szCs w:val="24"/>
        </w:rPr>
        <w:instrText xml:space="preserve"> TOC \o "1-3" \h \z \u </w:instrText>
      </w:r>
      <w:r>
        <w:rPr>
          <w:rFonts w:asciiTheme="minorEastAsia" w:hAnsiTheme="minorEastAsia"/>
          <w:b/>
          <w:color w:val="000000"/>
          <w:sz w:val="24"/>
          <w:szCs w:val="24"/>
        </w:rPr>
        <w:fldChar w:fldCharType="separate"/>
      </w:r>
      <w:r>
        <w:fldChar w:fldCharType="begin"/>
      </w:r>
      <w:r>
        <w:instrText xml:space="preserve"> HYPERLINK \l "_Toc110414441" </w:instrText>
      </w:r>
      <w:r>
        <w:fldChar w:fldCharType="separate"/>
      </w:r>
      <w:r>
        <w:rPr>
          <w:rStyle w:val="19"/>
          <w:rFonts w:hint="eastAsia" w:ascii="宋体" w:hAnsi="宋体"/>
        </w:rPr>
        <w:t>一、企业质量理念</w:t>
      </w:r>
      <w:r>
        <w:tab/>
      </w:r>
      <w:r>
        <w:fldChar w:fldCharType="begin"/>
      </w:r>
      <w:r>
        <w:instrText xml:space="preserve"> PAGEREF _Toc110414441 \h </w:instrText>
      </w:r>
      <w:r>
        <w:fldChar w:fldCharType="separate"/>
      </w:r>
      <w:r>
        <w:t>4</w:t>
      </w:r>
      <w:r>
        <w:fldChar w:fldCharType="end"/>
      </w:r>
      <w:r>
        <w:fldChar w:fldCharType="end"/>
      </w:r>
    </w:p>
    <w:p w14:paraId="20AF85F7">
      <w:pPr>
        <w:pStyle w:val="14"/>
        <w:tabs>
          <w:tab w:val="right" w:leader="dot" w:pos="8303"/>
        </w:tabs>
        <w:rPr>
          <w:kern w:val="2"/>
          <w:sz w:val="21"/>
        </w:rPr>
      </w:pPr>
      <w:r>
        <w:fldChar w:fldCharType="begin"/>
      </w:r>
      <w:r>
        <w:instrText xml:space="preserve"> HYPERLINK \l "_Toc110414442" </w:instrText>
      </w:r>
      <w:r>
        <w:fldChar w:fldCharType="separate"/>
      </w:r>
      <w:r>
        <w:rPr>
          <w:rStyle w:val="19"/>
          <w:rFonts w:hint="eastAsia" w:ascii="宋体" w:hAnsi="宋体"/>
        </w:rPr>
        <w:t>二、企业质量管理</w:t>
      </w:r>
      <w:r>
        <w:tab/>
      </w:r>
      <w:r>
        <w:fldChar w:fldCharType="begin"/>
      </w:r>
      <w:r>
        <w:instrText xml:space="preserve"> PAGEREF _Toc110414442 \h </w:instrText>
      </w:r>
      <w:r>
        <w:fldChar w:fldCharType="separate"/>
      </w:r>
      <w:r>
        <w:t>4</w:t>
      </w:r>
      <w:r>
        <w:fldChar w:fldCharType="end"/>
      </w:r>
      <w:r>
        <w:fldChar w:fldCharType="end"/>
      </w:r>
    </w:p>
    <w:p w14:paraId="60348AB4">
      <w:pPr>
        <w:pStyle w:val="14"/>
        <w:tabs>
          <w:tab w:val="right" w:leader="dot" w:pos="8303"/>
        </w:tabs>
        <w:rPr>
          <w:kern w:val="2"/>
          <w:sz w:val="21"/>
        </w:rPr>
      </w:pPr>
      <w:r>
        <w:fldChar w:fldCharType="begin"/>
      </w:r>
      <w:r>
        <w:instrText xml:space="preserve"> HYPERLINK \l "_Toc110414443" </w:instrText>
      </w:r>
      <w:r>
        <w:fldChar w:fldCharType="separate"/>
      </w:r>
      <w:r>
        <w:rPr>
          <w:rStyle w:val="19"/>
          <w:rFonts w:hint="eastAsia" w:ascii="宋体" w:hAnsi="宋体"/>
        </w:rPr>
        <w:t>三、质量诚信管理</w:t>
      </w:r>
      <w:r>
        <w:tab/>
      </w:r>
      <w:r>
        <w:fldChar w:fldCharType="begin"/>
      </w:r>
      <w:r>
        <w:instrText xml:space="preserve"> PAGEREF _Toc110414443 \h </w:instrText>
      </w:r>
      <w:r>
        <w:fldChar w:fldCharType="separate"/>
      </w:r>
      <w:r>
        <w:t>6</w:t>
      </w:r>
      <w:r>
        <w:fldChar w:fldCharType="end"/>
      </w:r>
      <w:r>
        <w:fldChar w:fldCharType="end"/>
      </w:r>
    </w:p>
    <w:p w14:paraId="6E44488C">
      <w:pPr>
        <w:pStyle w:val="14"/>
        <w:tabs>
          <w:tab w:val="right" w:leader="dot" w:pos="8303"/>
        </w:tabs>
        <w:rPr>
          <w:kern w:val="2"/>
          <w:sz w:val="21"/>
        </w:rPr>
      </w:pPr>
      <w:r>
        <w:fldChar w:fldCharType="begin"/>
      </w:r>
      <w:r>
        <w:instrText xml:space="preserve"> HYPERLINK \l "_Toc110414444" </w:instrText>
      </w:r>
      <w:r>
        <w:fldChar w:fldCharType="separate"/>
      </w:r>
      <w:r>
        <w:rPr>
          <w:rStyle w:val="19"/>
          <w:rFonts w:hint="eastAsia" w:ascii="宋体" w:hAnsi="宋体"/>
        </w:rPr>
        <w:t>四、企业质量基础</w:t>
      </w:r>
      <w:r>
        <w:tab/>
      </w:r>
      <w:r>
        <w:fldChar w:fldCharType="begin"/>
      </w:r>
      <w:r>
        <w:instrText xml:space="preserve"> PAGEREF _Toc110414444 \h </w:instrText>
      </w:r>
      <w:r>
        <w:fldChar w:fldCharType="separate"/>
      </w:r>
      <w:r>
        <w:t>7</w:t>
      </w:r>
      <w:r>
        <w:fldChar w:fldCharType="end"/>
      </w:r>
      <w:r>
        <w:fldChar w:fldCharType="end"/>
      </w:r>
    </w:p>
    <w:p w14:paraId="610D2945">
      <w:pPr>
        <w:pStyle w:val="7"/>
        <w:tabs>
          <w:tab w:val="right" w:leader="dot" w:pos="8303"/>
        </w:tabs>
        <w:rPr>
          <w:kern w:val="2"/>
          <w:sz w:val="21"/>
        </w:rPr>
      </w:pPr>
      <w:r>
        <w:fldChar w:fldCharType="begin"/>
      </w:r>
      <w:r>
        <w:instrText xml:space="preserve"> HYPERLINK \l "_Toc110414445" </w:instrText>
      </w:r>
      <w:r>
        <w:fldChar w:fldCharType="separate"/>
      </w:r>
      <w:r>
        <w:rPr>
          <w:rStyle w:val="19"/>
          <w:rFonts w:hint="eastAsia" w:asciiTheme="minorEastAsia" w:hAnsiTheme="minorEastAsia"/>
        </w:rPr>
        <w:t>（一）企业产品标准</w:t>
      </w:r>
      <w:r>
        <w:tab/>
      </w:r>
      <w:r>
        <w:fldChar w:fldCharType="begin"/>
      </w:r>
      <w:r>
        <w:instrText xml:space="preserve"> PAGEREF _Toc110414445 \h </w:instrText>
      </w:r>
      <w:r>
        <w:fldChar w:fldCharType="separate"/>
      </w:r>
      <w:r>
        <w:t>7</w:t>
      </w:r>
      <w:r>
        <w:fldChar w:fldCharType="end"/>
      </w:r>
      <w:r>
        <w:fldChar w:fldCharType="end"/>
      </w:r>
    </w:p>
    <w:p w14:paraId="01D7EE7E">
      <w:pPr>
        <w:pStyle w:val="7"/>
        <w:tabs>
          <w:tab w:val="right" w:leader="dot" w:pos="8303"/>
        </w:tabs>
        <w:rPr>
          <w:kern w:val="2"/>
          <w:sz w:val="21"/>
        </w:rPr>
      </w:pPr>
      <w:r>
        <w:fldChar w:fldCharType="begin"/>
      </w:r>
      <w:r>
        <w:instrText xml:space="preserve"> HYPERLINK \l "_Toc110414446" </w:instrText>
      </w:r>
      <w:r>
        <w:fldChar w:fldCharType="separate"/>
      </w:r>
      <w:r>
        <w:rPr>
          <w:rStyle w:val="19"/>
          <w:rFonts w:hint="eastAsia" w:asciiTheme="minorEastAsia" w:hAnsiTheme="minorEastAsia"/>
        </w:rPr>
        <w:t>（二）企业计量水平</w:t>
      </w:r>
      <w:r>
        <w:tab/>
      </w:r>
      <w:r>
        <w:fldChar w:fldCharType="begin"/>
      </w:r>
      <w:r>
        <w:instrText xml:space="preserve"> PAGEREF _Toc110414446 \h </w:instrText>
      </w:r>
      <w:r>
        <w:fldChar w:fldCharType="separate"/>
      </w:r>
      <w:r>
        <w:t>7</w:t>
      </w:r>
      <w:r>
        <w:fldChar w:fldCharType="end"/>
      </w:r>
      <w:r>
        <w:fldChar w:fldCharType="end"/>
      </w:r>
    </w:p>
    <w:p w14:paraId="74CE5018">
      <w:pPr>
        <w:pStyle w:val="7"/>
        <w:tabs>
          <w:tab w:val="right" w:leader="dot" w:pos="8303"/>
        </w:tabs>
        <w:rPr>
          <w:kern w:val="2"/>
          <w:sz w:val="21"/>
        </w:rPr>
      </w:pPr>
      <w:r>
        <w:fldChar w:fldCharType="begin"/>
      </w:r>
      <w:r>
        <w:instrText xml:space="preserve"> HYPERLINK \l "_Toc110414447" </w:instrText>
      </w:r>
      <w:r>
        <w:fldChar w:fldCharType="separate"/>
      </w:r>
      <w:r>
        <w:rPr>
          <w:rStyle w:val="19"/>
          <w:rFonts w:hint="eastAsia" w:asciiTheme="minorEastAsia" w:hAnsiTheme="minorEastAsia"/>
        </w:rPr>
        <w:t>（三）认证认可情况</w:t>
      </w:r>
      <w:r>
        <w:tab/>
      </w:r>
      <w:r>
        <w:fldChar w:fldCharType="begin"/>
      </w:r>
      <w:r>
        <w:instrText xml:space="preserve"> PAGEREF _Toc110414447 \h </w:instrText>
      </w:r>
      <w:r>
        <w:fldChar w:fldCharType="separate"/>
      </w:r>
      <w:r>
        <w:t>8</w:t>
      </w:r>
      <w:r>
        <w:fldChar w:fldCharType="end"/>
      </w:r>
      <w:r>
        <w:fldChar w:fldCharType="end"/>
      </w:r>
    </w:p>
    <w:p w14:paraId="3F7ACEE3">
      <w:pPr>
        <w:pStyle w:val="7"/>
        <w:tabs>
          <w:tab w:val="right" w:leader="dot" w:pos="8303"/>
        </w:tabs>
        <w:rPr>
          <w:kern w:val="2"/>
          <w:sz w:val="21"/>
        </w:rPr>
      </w:pPr>
      <w:r>
        <w:fldChar w:fldCharType="begin"/>
      </w:r>
      <w:r>
        <w:instrText xml:space="preserve"> HYPERLINK \l "_Toc110414448" </w:instrText>
      </w:r>
      <w:r>
        <w:fldChar w:fldCharType="separate"/>
      </w:r>
      <w:r>
        <w:rPr>
          <w:rStyle w:val="19"/>
          <w:rFonts w:hint="eastAsia" w:asciiTheme="minorEastAsia" w:hAnsiTheme="minorEastAsia"/>
        </w:rPr>
        <w:t>（四）质量检验情况</w:t>
      </w:r>
      <w:r>
        <w:tab/>
      </w:r>
      <w:r>
        <w:fldChar w:fldCharType="begin"/>
      </w:r>
      <w:r>
        <w:instrText xml:space="preserve"> PAGEREF _Toc110414448 \h </w:instrText>
      </w:r>
      <w:r>
        <w:fldChar w:fldCharType="separate"/>
      </w:r>
      <w:r>
        <w:t>8</w:t>
      </w:r>
      <w:r>
        <w:fldChar w:fldCharType="end"/>
      </w:r>
      <w:r>
        <w:fldChar w:fldCharType="end"/>
      </w:r>
    </w:p>
    <w:p w14:paraId="1EA3C2BB">
      <w:pPr>
        <w:pStyle w:val="14"/>
        <w:tabs>
          <w:tab w:val="right" w:leader="dot" w:pos="8303"/>
        </w:tabs>
        <w:rPr>
          <w:kern w:val="2"/>
          <w:sz w:val="21"/>
        </w:rPr>
      </w:pPr>
      <w:r>
        <w:fldChar w:fldCharType="begin"/>
      </w:r>
      <w:r>
        <w:instrText xml:space="preserve"> HYPERLINK \l "_Toc110414449" </w:instrText>
      </w:r>
      <w:r>
        <w:fldChar w:fldCharType="separate"/>
      </w:r>
      <w:r>
        <w:rPr>
          <w:rStyle w:val="19"/>
          <w:rFonts w:hint="eastAsia" w:cs="宋体" w:asciiTheme="minorEastAsia" w:hAnsiTheme="minorEastAsia"/>
        </w:rPr>
        <w:t>五、产品质量责任</w:t>
      </w:r>
      <w:r>
        <w:tab/>
      </w:r>
      <w:r>
        <w:fldChar w:fldCharType="begin"/>
      </w:r>
      <w:r>
        <w:instrText xml:space="preserve"> PAGEREF _Toc110414449 \h </w:instrText>
      </w:r>
      <w:r>
        <w:fldChar w:fldCharType="separate"/>
      </w:r>
      <w:r>
        <w:t>8</w:t>
      </w:r>
      <w:r>
        <w:fldChar w:fldCharType="end"/>
      </w:r>
      <w:r>
        <w:fldChar w:fldCharType="end"/>
      </w:r>
    </w:p>
    <w:p w14:paraId="3701D407">
      <w:pPr>
        <w:pStyle w:val="7"/>
        <w:tabs>
          <w:tab w:val="right" w:leader="dot" w:pos="8303"/>
        </w:tabs>
        <w:rPr>
          <w:kern w:val="2"/>
          <w:sz w:val="21"/>
        </w:rPr>
      </w:pPr>
      <w:r>
        <w:fldChar w:fldCharType="begin"/>
      </w:r>
      <w:r>
        <w:instrText xml:space="preserve"> HYPERLINK \l "_Toc110414450" </w:instrText>
      </w:r>
      <w:r>
        <w:fldChar w:fldCharType="separate"/>
      </w:r>
      <w:r>
        <w:rPr>
          <w:rStyle w:val="19"/>
          <w:rFonts w:hint="eastAsia" w:asciiTheme="minorEastAsia" w:hAnsiTheme="minorEastAsia"/>
        </w:rPr>
        <w:t>（一）产品质量水平</w:t>
      </w:r>
      <w:r>
        <w:tab/>
      </w:r>
      <w:r>
        <w:fldChar w:fldCharType="begin"/>
      </w:r>
      <w:r>
        <w:instrText xml:space="preserve"> PAGEREF _Toc110414450 \h </w:instrText>
      </w:r>
      <w:r>
        <w:fldChar w:fldCharType="separate"/>
      </w:r>
      <w:r>
        <w:t>8</w:t>
      </w:r>
      <w:r>
        <w:fldChar w:fldCharType="end"/>
      </w:r>
      <w:r>
        <w:fldChar w:fldCharType="end"/>
      </w:r>
    </w:p>
    <w:p w14:paraId="3FE642BB">
      <w:pPr>
        <w:pStyle w:val="7"/>
        <w:tabs>
          <w:tab w:val="right" w:leader="dot" w:pos="8303"/>
        </w:tabs>
        <w:rPr>
          <w:kern w:val="2"/>
          <w:sz w:val="21"/>
        </w:rPr>
      </w:pPr>
      <w:r>
        <w:fldChar w:fldCharType="begin"/>
      </w:r>
      <w:r>
        <w:instrText xml:space="preserve"> HYPERLINK \l "_Toc110414451" </w:instrText>
      </w:r>
      <w:r>
        <w:fldChar w:fldCharType="separate"/>
      </w:r>
      <w:r>
        <w:rPr>
          <w:rStyle w:val="19"/>
          <w:rFonts w:hint="eastAsia" w:asciiTheme="minorEastAsia" w:hAnsiTheme="minorEastAsia"/>
        </w:rPr>
        <w:t>（二）产品售后责任</w:t>
      </w:r>
      <w:r>
        <w:tab/>
      </w:r>
      <w:r>
        <w:fldChar w:fldCharType="begin"/>
      </w:r>
      <w:r>
        <w:instrText xml:space="preserve"> PAGEREF _Toc110414451 \h </w:instrText>
      </w:r>
      <w:r>
        <w:fldChar w:fldCharType="separate"/>
      </w:r>
      <w:r>
        <w:t>9</w:t>
      </w:r>
      <w:r>
        <w:fldChar w:fldCharType="end"/>
      </w:r>
      <w:r>
        <w:fldChar w:fldCharType="end"/>
      </w:r>
    </w:p>
    <w:p w14:paraId="6C99E93D">
      <w:pPr>
        <w:pStyle w:val="7"/>
        <w:tabs>
          <w:tab w:val="right" w:leader="dot" w:pos="8303"/>
        </w:tabs>
        <w:rPr>
          <w:kern w:val="2"/>
          <w:sz w:val="21"/>
        </w:rPr>
      </w:pPr>
      <w:r>
        <w:fldChar w:fldCharType="begin"/>
      </w:r>
      <w:r>
        <w:instrText xml:space="preserve"> HYPERLINK \l "_Toc110414452" </w:instrText>
      </w:r>
      <w:r>
        <w:fldChar w:fldCharType="separate"/>
      </w:r>
      <w:r>
        <w:rPr>
          <w:rStyle w:val="19"/>
          <w:rFonts w:hint="eastAsia" w:asciiTheme="minorEastAsia" w:hAnsiTheme="minorEastAsia"/>
        </w:rPr>
        <w:t>（三）企业社会责任</w:t>
      </w:r>
      <w:r>
        <w:tab/>
      </w:r>
      <w:r>
        <w:fldChar w:fldCharType="begin"/>
      </w:r>
      <w:r>
        <w:instrText xml:space="preserve"> PAGEREF _Toc110414452 \h </w:instrText>
      </w:r>
      <w:r>
        <w:fldChar w:fldCharType="separate"/>
      </w:r>
      <w:r>
        <w:t>9</w:t>
      </w:r>
      <w:r>
        <w:fldChar w:fldCharType="end"/>
      </w:r>
      <w:r>
        <w:fldChar w:fldCharType="end"/>
      </w:r>
    </w:p>
    <w:p w14:paraId="5AE3C84F">
      <w:pPr>
        <w:pStyle w:val="7"/>
        <w:tabs>
          <w:tab w:val="right" w:leader="dot" w:pos="8303"/>
        </w:tabs>
        <w:rPr>
          <w:kern w:val="2"/>
          <w:sz w:val="21"/>
        </w:rPr>
      </w:pPr>
      <w:r>
        <w:fldChar w:fldCharType="begin"/>
      </w:r>
      <w:r>
        <w:instrText xml:space="preserve"> HYPERLINK \l "_Toc110414453" </w:instrText>
      </w:r>
      <w:r>
        <w:fldChar w:fldCharType="separate"/>
      </w:r>
      <w:r>
        <w:rPr>
          <w:rStyle w:val="19"/>
          <w:rFonts w:hint="eastAsia" w:asciiTheme="minorEastAsia" w:hAnsiTheme="minorEastAsia"/>
        </w:rPr>
        <w:t>（四）质量信用记录</w:t>
      </w:r>
      <w:r>
        <w:tab/>
      </w:r>
      <w:r>
        <w:fldChar w:fldCharType="begin"/>
      </w:r>
      <w:r>
        <w:instrText xml:space="preserve"> PAGEREF _Toc110414453 \h </w:instrText>
      </w:r>
      <w:r>
        <w:fldChar w:fldCharType="separate"/>
      </w:r>
      <w:r>
        <w:t>9</w:t>
      </w:r>
      <w:r>
        <w:fldChar w:fldCharType="end"/>
      </w:r>
      <w:r>
        <w:fldChar w:fldCharType="end"/>
      </w:r>
    </w:p>
    <w:p w14:paraId="3D1B90B9">
      <w:pPr>
        <w:spacing w:line="360" w:lineRule="exact"/>
        <w:rPr>
          <w:rFonts w:cs="宋体" w:asciiTheme="minorEastAsia" w:hAnsiTheme="minorEastAsia" w:eastAsiaTheme="minorEastAsia"/>
          <w:color w:val="000000"/>
          <w:kern w:val="0"/>
          <w:sz w:val="24"/>
        </w:rPr>
      </w:pPr>
      <w:r>
        <w:rPr>
          <w:rFonts w:cs="宋体" w:asciiTheme="minorEastAsia" w:hAnsiTheme="minorEastAsia" w:eastAsiaTheme="minorEastAsia"/>
          <w:color w:val="000000"/>
          <w:kern w:val="0"/>
          <w:sz w:val="24"/>
        </w:rPr>
        <w:fldChar w:fldCharType="end"/>
      </w:r>
      <w:r>
        <w:rPr>
          <w:rFonts w:cs="宋体" w:asciiTheme="minorEastAsia" w:hAnsiTheme="minorEastAsia" w:eastAsiaTheme="minorEastAsia"/>
          <w:color w:val="000000"/>
          <w:kern w:val="0"/>
          <w:sz w:val="24"/>
        </w:rPr>
        <w:br w:type="page"/>
      </w:r>
    </w:p>
    <w:p w14:paraId="4EBE057E">
      <w:pPr>
        <w:snapToGrid w:val="0"/>
        <w:spacing w:line="312" w:lineRule="auto"/>
        <w:ind w:firstLine="480" w:firstLineChars="200"/>
        <w:jc w:val="center"/>
        <w:rPr>
          <w:rFonts w:asciiTheme="minorEastAsia" w:hAnsiTheme="minorEastAsia" w:eastAsiaTheme="minorEastAsia"/>
          <w:color w:val="000000"/>
          <w:sz w:val="24"/>
        </w:rPr>
      </w:pPr>
      <w:r>
        <w:rPr>
          <w:rFonts w:hint="eastAsia" w:asciiTheme="minorEastAsia" w:hAnsiTheme="minorEastAsia" w:eastAsiaTheme="minorEastAsia"/>
          <w:color w:val="000000"/>
          <w:sz w:val="24"/>
        </w:rPr>
        <w:t>第二部分报告正文</w:t>
      </w:r>
    </w:p>
    <w:p w14:paraId="77AAEDB0">
      <w:pPr>
        <w:spacing w:line="360" w:lineRule="auto"/>
        <w:outlineLvl w:val="1"/>
        <w:rPr>
          <w:rFonts w:ascii="宋体" w:hAnsi="宋体"/>
          <w:sz w:val="24"/>
        </w:rPr>
      </w:pPr>
      <w:bookmarkStart w:id="0" w:name="_Toc110414441"/>
      <w:r>
        <w:rPr>
          <w:rFonts w:hint="eastAsia" w:ascii="宋体" w:hAnsi="宋体"/>
          <w:sz w:val="24"/>
        </w:rPr>
        <w:t>一、企业质量理念</w:t>
      </w:r>
      <w:bookmarkEnd w:id="0"/>
    </w:p>
    <w:p w14:paraId="1B673C95">
      <w:pPr>
        <w:snapToGrid w:val="0"/>
        <w:spacing w:line="312"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作为行业龙头企业，为实现</w:t>
      </w:r>
      <w:r>
        <w:rPr>
          <w:rFonts w:hint="eastAsia" w:asciiTheme="minorEastAsia" w:hAnsiTheme="minorEastAsia" w:eastAsiaTheme="minorEastAsia"/>
          <w:color w:val="000000"/>
          <w:sz w:val="24"/>
        </w:rPr>
        <w:t>“成为中国风机行业标杆企业”</w:t>
      </w:r>
      <w:r>
        <w:rPr>
          <w:rFonts w:asciiTheme="minorEastAsia" w:hAnsiTheme="minorEastAsia" w:eastAsiaTheme="minorEastAsia"/>
          <w:color w:val="000000"/>
          <w:sz w:val="24"/>
        </w:rPr>
        <w:t>的愿景，</w:t>
      </w:r>
      <w:r>
        <w:rPr>
          <w:rFonts w:hint="eastAsia" w:asciiTheme="minorEastAsia" w:hAnsiTheme="minorEastAsia" w:eastAsiaTheme="minorEastAsia"/>
          <w:color w:val="000000"/>
          <w:sz w:val="24"/>
        </w:rPr>
        <w:t>公司</w:t>
      </w:r>
      <w:r>
        <w:rPr>
          <w:rFonts w:asciiTheme="minorEastAsia" w:hAnsiTheme="minorEastAsia" w:eastAsiaTheme="minorEastAsia"/>
          <w:color w:val="000000"/>
          <w:sz w:val="24"/>
        </w:rPr>
        <w:t>十分重视产品质量并始终坚持“以人为本，科技创新、互利共赢”的理念，严抓质量管理。</w:t>
      </w:r>
      <w:r>
        <w:rPr>
          <w:rFonts w:hint="eastAsia" w:asciiTheme="minorEastAsia" w:hAnsiTheme="minorEastAsia" w:eastAsiaTheme="minorEastAsia"/>
          <w:color w:val="000000"/>
          <w:sz w:val="24"/>
        </w:rPr>
        <w:t>为此，公司建立了严格的质量保证体系，严格按照《产品质量法》等法规及国家强制性标准的要求生产、销售产品，并制订了以《管理手册》为总纲的涵盖采购、制造、销售、售后服务全过程的质量管理文件，确保为顾客提供安全、健康、舒适的产品。</w:t>
      </w:r>
    </w:p>
    <w:p w14:paraId="35C9D788">
      <w:pPr>
        <w:snapToGrid w:val="0"/>
        <w:spacing w:line="312" w:lineRule="auto"/>
        <w:ind w:firstLine="480" w:firstLineChars="200"/>
        <w:rPr>
          <w:rFonts w:asciiTheme="minorEastAsia" w:hAnsiTheme="minorEastAsia" w:eastAsiaTheme="minorEastAsia"/>
          <w:color w:val="000000"/>
          <w:sz w:val="24"/>
        </w:rPr>
      </w:pPr>
    </w:p>
    <w:p w14:paraId="7C6699BD">
      <w:pPr>
        <w:spacing w:line="360" w:lineRule="auto"/>
        <w:outlineLvl w:val="1"/>
        <w:rPr>
          <w:rFonts w:ascii="宋体" w:hAnsi="宋体"/>
          <w:sz w:val="24"/>
        </w:rPr>
      </w:pPr>
      <w:bookmarkStart w:id="1" w:name="_Toc110414442"/>
      <w:r>
        <w:rPr>
          <w:rFonts w:ascii="宋体" w:hAnsi="宋体"/>
          <w:sz w:val="24"/>
        </w:rPr>
        <w:t>二</w:t>
      </w:r>
      <w:r>
        <w:rPr>
          <w:rFonts w:hint="eastAsia" w:ascii="宋体" w:hAnsi="宋体"/>
          <w:sz w:val="24"/>
        </w:rPr>
        <w:t>、企业质量管理</w:t>
      </w:r>
      <w:bookmarkEnd w:id="1"/>
    </w:p>
    <w:p w14:paraId="79D1F101">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（一）质量管理机构</w:t>
      </w:r>
    </w:p>
    <w:p w14:paraId="28A47B05">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依据精简高效的原则，公司综合部定期发布最新组织机构图，人力资源及时确定各岗位的工作职责。公司设立了管理者代表，对公司的决策层、各工作岗位建立了详细的工作标准，制定了各部门职能说明书。各部门各司其职、相互沟通配合，营销、研发、采购、来料检验、仓储、生产、检验等运作流程脉络清晰、流畅。</w:t>
      </w:r>
    </w:p>
    <w:p w14:paraId="2D543650">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（二）质量管理体系</w:t>
      </w:r>
    </w:p>
    <w:p w14:paraId="29C60376">
      <w:pPr>
        <w:spacing w:line="360" w:lineRule="auto"/>
        <w:ind w:firstLine="720" w:firstLineChars="30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公司拥有完善的质量保证体系及质量控制系统；公司始终坚持以顾客为焦点，坚持“</w:t>
      </w:r>
      <w:r>
        <w:rPr>
          <w:rFonts w:hint="eastAsia" w:ascii="宋体" w:hAnsi="宋体"/>
          <w:sz w:val="24"/>
        </w:rPr>
        <w:t>从企业管理中要质量，从技术进步中争效益</w:t>
      </w:r>
      <w:r>
        <w:rPr>
          <w:rFonts w:hint="eastAsia" w:asciiTheme="minorEastAsia" w:hAnsiTheme="minorEastAsia" w:eastAsiaTheme="minorEastAsia"/>
          <w:color w:val="000000"/>
          <w:sz w:val="24"/>
        </w:rPr>
        <w:t>”的质量方针，有效保证研发质量、物料质量、制造质量及售后服务质量；质量控制涉及供方、进货、过程、出厂、售后等全供应链流程，并持续改进。产品质量赢得客户广泛认可。</w:t>
      </w:r>
    </w:p>
    <w:p w14:paraId="499F4294">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建立了《内部审核控制程序》，并根据内部审核需要培养了充足的内审员。为确保体系运行的有效性和持续改进，根据体系审核规定，公司定期对产品一致性和符合法律法规情况进行抽样检查，每年开展覆盖全公司范围的体系内审，对于审核发现的不符合项，公司组织进行分析原因，制定纠正措施与预防控制措施，责任部门根据纠正预防措施落实整改，并评价整改效果，各问题整改验证合格后关闭。最终形成内部审核报告，对体系的整改及不合格项的预防提出建议，并作为管理评审的一个重要输入，报告管理者。</w:t>
      </w:r>
    </w:p>
    <w:p w14:paraId="4CFF5B0A">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制定了《不合格控制程序》等程序文件，对不合格品进行了严格管控。公司所有的产品必须通过检验合格后方能流入下工序或出厂。任何不合格产品均有明确有标识、记录、评价、隔离和处理等要求，各种不合格产品返工、返修后必须经过重新检验合格后才能进入下工序。</w:t>
      </w:r>
    </w:p>
    <w:p w14:paraId="05434820">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对于所有出现的显性或隐性质量问题及不合格，质量管理部均有详细数据记录，并由专人进行统计分析后，由责任部门依据《不合格控制程序》制定纠正预防并进行整改，评估纠正预防措施有效之后方能关闭问题项，而且各种产品数据均可追溯。</w:t>
      </w:r>
    </w:p>
    <w:p w14:paraId="103A4DDC">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综上所述，公司的质量管理体系强调系统优化、过程方法、质量工具应用的常规化和日常化，在各系统、各过程充分应用</w:t>
      </w:r>
      <w:r>
        <w:rPr>
          <w:rFonts w:asciiTheme="minorEastAsia" w:hAnsiTheme="minorEastAsia" w:eastAsiaTheme="minorEastAsia"/>
          <w:color w:val="000000"/>
          <w:sz w:val="24"/>
        </w:rPr>
        <w:t>PDCA</w:t>
      </w:r>
      <w:r>
        <w:rPr>
          <w:rFonts w:hint="eastAsia" w:asciiTheme="minorEastAsia" w:hAnsiTheme="minorEastAsia" w:eastAsiaTheme="minorEastAsia"/>
          <w:color w:val="000000"/>
          <w:sz w:val="24"/>
        </w:rPr>
        <w:t>循环，持续改善、追求卓越。</w:t>
      </w:r>
    </w:p>
    <w:p w14:paraId="4E77D85C">
      <w:pPr>
        <w:snapToGrid w:val="0"/>
        <w:spacing w:line="312" w:lineRule="auto"/>
        <w:ind w:firstLine="480" w:firstLineChars="200"/>
        <w:rPr>
          <w:rFonts w:asciiTheme="minorEastAsia" w:hAnsiTheme="minorEastAsia" w:eastAsiaTheme="minorEastAsia"/>
          <w:color w:val="000000"/>
          <w:sz w:val="24"/>
        </w:rPr>
      </w:pPr>
    </w:p>
    <w:p w14:paraId="48D2FE20">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（三）质量风险管理</w:t>
      </w:r>
    </w:p>
    <w:p w14:paraId="6C4981E0">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为保证不断提高产品质量，提升公司质量服务水平，在公司质量管理体系的程序文件中明确了顾客对产品的要求、评审及服务，通过</w:t>
      </w:r>
      <w:r>
        <w:rPr>
          <w:rFonts w:hint="eastAsia" w:asciiTheme="minorEastAsia" w:hAnsiTheme="minorEastAsia" w:eastAsiaTheme="minorEastAsia"/>
          <w:color w:val="000000" w:themeColor="text1"/>
          <w:sz w:val="24"/>
        </w:rPr>
        <w:t>满意度调查、电话回访</w:t>
      </w:r>
      <w:r>
        <w:rPr>
          <w:rFonts w:hint="eastAsia" w:asciiTheme="minorEastAsia" w:hAnsiTheme="minorEastAsia" w:eastAsiaTheme="minorEastAsia"/>
          <w:color w:val="000000"/>
          <w:sz w:val="24"/>
        </w:rPr>
        <w:t>等方式，收集客户投诉或者潜在抱怨信息，通过对竞争对手的考察以及顾客对其他对手产品的评价，收集顾客对产品与服务期望，主动进行预防来减少顾客投诉。</w:t>
      </w:r>
    </w:p>
    <w:p w14:paraId="71DEA2D2">
      <w:pPr>
        <w:pStyle w:val="33"/>
        <w:spacing w:line="360" w:lineRule="auto"/>
        <w:ind w:firstLine="480" w:firstLineChars="200"/>
        <w:rPr>
          <w:rFonts w:ascii="宋体" w:hAnsi="宋体" w:cs="宋体"/>
          <w:bCs/>
          <w:color w:val="000000"/>
          <w:sz w:val="24"/>
          <w:szCs w:val="24"/>
        </w:rPr>
      </w:pPr>
      <w:r>
        <w:rPr>
          <w:rFonts w:hint="eastAsia" w:asciiTheme="minorEastAsia" w:hAnsiTheme="minorEastAsia" w:eastAsiaTheme="minorEastAsia"/>
          <w:color w:val="000000"/>
          <w:sz w:val="24"/>
        </w:rPr>
        <w:t>公司根据战略要求，对市场进行细分，以提高资源和运作的有效性针对性。</w:t>
      </w:r>
      <w:r>
        <w:rPr>
          <w:rFonts w:hint="eastAsia" w:ascii="宋体" w:hAnsi="宋体" w:cs="宋体"/>
          <w:bCs/>
          <w:color w:val="000000"/>
          <w:sz w:val="24"/>
          <w:szCs w:val="24"/>
        </w:rPr>
        <w:t>按照产品不同进行分类，不同产品客户需求特点各有差异，公司在各个领域均取得领先的成果。</w:t>
      </w:r>
    </w:p>
    <w:p w14:paraId="7BA4C516">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公司通过</w:t>
      </w:r>
      <w:r>
        <w:rPr>
          <w:rFonts w:hint="eastAsia" w:ascii="宋体" w:hAnsi="宋体"/>
          <w:color w:val="000000"/>
          <w:sz w:val="24"/>
        </w:rPr>
        <w:t>走访调研、召开营销会议、开展顾客（顾客）满意度调查、开通服务专线等多种方式</w:t>
      </w:r>
      <w:r>
        <w:rPr>
          <w:rFonts w:hint="eastAsia" w:asciiTheme="minorEastAsia" w:hAnsiTheme="minorEastAsia" w:eastAsiaTheme="minorEastAsia"/>
          <w:color w:val="000000"/>
          <w:sz w:val="24"/>
        </w:rPr>
        <w:t>方法，了解客户的需求和期望。</w:t>
      </w:r>
    </w:p>
    <w:p w14:paraId="78EB43DF">
      <w:pPr>
        <w:snapToGrid w:val="0"/>
        <w:spacing w:line="312"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公司各部门定期搜集顾客信息，解析后确定的顾客需求信息按照不同细分市场进行分类梳理总结，形成不同顾客群的需求与期望数据库，并从中归纳出针对不同细分市场顾客群总体需求特点的汇总资料，供产品规划、产品开发设计、过程控制等决策时参考。</w:t>
      </w:r>
    </w:p>
    <w:p w14:paraId="77E658F8">
      <w:pPr>
        <w:snapToGrid w:val="0"/>
        <w:spacing w:line="312"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根据顾客需求和期望的变化</w:t>
      </w:r>
      <w:r>
        <w:rPr>
          <w:rFonts w:hint="eastAsia" w:asciiTheme="minorEastAsia" w:hAnsiTheme="minorEastAsia" w:eastAsiaTheme="minorEastAsia"/>
          <w:color w:val="000000"/>
          <w:sz w:val="24"/>
        </w:rPr>
        <w:t>，</w:t>
      </w:r>
      <w:r>
        <w:rPr>
          <w:rFonts w:asciiTheme="minorEastAsia" w:hAnsiTheme="minorEastAsia" w:eastAsiaTheme="minorEastAsia"/>
          <w:color w:val="000000"/>
          <w:sz w:val="24"/>
        </w:rPr>
        <w:t>对产品规划、开发设计、过程改进等改进指导</w:t>
      </w:r>
      <w:r>
        <w:rPr>
          <w:rFonts w:hint="eastAsia" w:asciiTheme="minorEastAsia" w:hAnsiTheme="minorEastAsia" w:eastAsiaTheme="minorEastAsia"/>
          <w:color w:val="000000"/>
          <w:sz w:val="24"/>
        </w:rPr>
        <w:t>如下：</w:t>
      </w:r>
    </w:p>
    <w:p w14:paraId="7F54BEF4">
      <w:pPr>
        <w:snapToGrid w:val="0"/>
        <w:spacing w:line="312"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1）将顾客需求和期望变化用于产品规划。</w:t>
      </w:r>
    </w:p>
    <w:p w14:paraId="6C295010">
      <w:pPr>
        <w:snapToGrid w:val="0"/>
        <w:spacing w:line="312" w:lineRule="auto"/>
        <w:ind w:firstLine="480" w:firstLineChars="200"/>
        <w:rPr>
          <w:rFonts w:asciiTheme="minorEastAsia" w:hAnsiTheme="minorEastAsia" w:eastAsiaTheme="minorEastAsia"/>
          <w:color w:val="000000"/>
          <w:sz w:val="24"/>
        </w:rPr>
      </w:pPr>
      <w:r>
        <w:rPr>
          <w:rFonts w:asciiTheme="minorEastAsia" w:hAnsiTheme="minorEastAsia" w:eastAsiaTheme="minorEastAsia"/>
          <w:color w:val="000000"/>
          <w:sz w:val="24"/>
        </w:rPr>
        <w:t>2）将顾客需求和期望变化用于产品开发改进设计。</w:t>
      </w:r>
    </w:p>
    <w:p w14:paraId="50B13135">
      <w:pPr>
        <w:snapToGrid w:val="0"/>
        <w:spacing w:line="312" w:lineRule="auto"/>
        <w:ind w:firstLine="480" w:firstLineChars="200"/>
        <w:rPr>
          <w:rFonts w:asciiTheme="minorEastAsia" w:hAnsiTheme="minorEastAsia" w:eastAsiaTheme="minorEastAsia"/>
          <w:sz w:val="24"/>
        </w:rPr>
      </w:pPr>
      <w:r>
        <w:rPr>
          <w:rFonts w:asciiTheme="minorEastAsia" w:hAnsiTheme="minorEastAsia" w:eastAsiaTheme="minorEastAsia"/>
          <w:color w:val="000000"/>
          <w:sz w:val="24"/>
        </w:rPr>
        <w:t>针对关键顾客，利用信息化手段，和公司信息化系统对接，及时将顾客销售情况、新品信息等</w:t>
      </w:r>
      <w:r>
        <w:rPr>
          <w:rFonts w:asciiTheme="minorEastAsia" w:hAnsiTheme="minorEastAsia" w:eastAsiaTheme="minorEastAsia"/>
          <w:color w:val="000000" w:themeColor="text1"/>
          <w:sz w:val="24"/>
        </w:rPr>
        <w:t>，传递公司主管部门。每月度信息沟通，变更为每日数据对接。更快速了解关键顾客需求，适应市场变化。</w:t>
      </w:r>
    </w:p>
    <w:p w14:paraId="4D51F636">
      <w:pPr>
        <w:snapToGrid w:val="0"/>
        <w:spacing w:line="312" w:lineRule="auto"/>
        <w:ind w:firstLine="480" w:firstLineChars="200"/>
        <w:rPr>
          <w:rFonts w:ascii="宋体" w:hAnsi="宋体"/>
          <w:sz w:val="24"/>
        </w:rPr>
      </w:pPr>
      <w:r>
        <w:rPr>
          <w:rFonts w:ascii="宋体" w:hAnsi="宋体"/>
          <w:sz w:val="24"/>
        </w:rPr>
        <w:t>为就近收集市场信息，及时了解招标项目进程，方便公司对重点客户或潜在重点客户进行全程式跟踪服务，本公司已在国内多个</w:t>
      </w:r>
      <w:r>
        <w:rPr>
          <w:rFonts w:hint="eastAsia" w:ascii="宋体" w:hAnsi="宋体"/>
          <w:sz w:val="24"/>
        </w:rPr>
        <w:t>城市或地区</w:t>
      </w:r>
      <w:r>
        <w:rPr>
          <w:rFonts w:ascii="宋体" w:hAnsi="宋体"/>
          <w:sz w:val="24"/>
        </w:rPr>
        <w:t>设立了售后服务网点，形成了覆盖全国的营销网络和服务网络。售后服务网点配备掌握专业技术的销售与服务人员，根据客户需求，就技术、质量等问题展开全方位、个性化交流与服务（提供日常检测、维修保养、后续改造等服务）</w:t>
      </w:r>
      <w:r>
        <w:rPr>
          <w:rFonts w:hint="eastAsia" w:ascii="宋体" w:hAnsi="宋体"/>
          <w:sz w:val="24"/>
        </w:rPr>
        <w:t>，</w:t>
      </w:r>
      <w:r>
        <w:rPr>
          <w:rFonts w:ascii="宋体" w:hAnsi="宋体"/>
          <w:sz w:val="24"/>
        </w:rPr>
        <w:t>以此构筑了一个以客户为中心并</w:t>
      </w:r>
      <w:r>
        <w:rPr>
          <w:rFonts w:hint="eastAsia" w:ascii="宋体" w:hAnsi="宋体"/>
          <w:sz w:val="24"/>
        </w:rPr>
        <w:t>为</w:t>
      </w:r>
      <w:r>
        <w:rPr>
          <w:rFonts w:ascii="宋体" w:hAnsi="宋体"/>
          <w:sz w:val="24"/>
        </w:rPr>
        <w:t>客户创造价值为目标的服务支撑体系</w:t>
      </w:r>
      <w:r>
        <w:rPr>
          <w:rFonts w:hint="eastAsia" w:ascii="宋体" w:hAnsi="宋体"/>
          <w:sz w:val="24"/>
        </w:rPr>
        <w:t>。</w:t>
      </w:r>
    </w:p>
    <w:p w14:paraId="5F8279EE">
      <w:pPr>
        <w:spacing w:line="360" w:lineRule="auto"/>
        <w:ind w:firstLine="480" w:firstLineChars="200"/>
        <w:rPr>
          <w:rFonts w:ascii="宋体" w:hAnsi="宋体"/>
          <w:color w:val="000000"/>
          <w:sz w:val="24"/>
        </w:rPr>
      </w:pPr>
      <w:r>
        <w:rPr>
          <w:rFonts w:hint="eastAsia" w:ascii="宋体" w:hAnsi="宋体"/>
          <w:color w:val="000000"/>
          <w:sz w:val="24"/>
        </w:rPr>
        <w:t>公司重视当前和以往顾客信息的应用。当前信息包括营销人员、销售商等收集反馈信息，市场调研人员、领导走访市场得到的信息及参加展会、行业会议收集的客户信息等；以往的信息包括顾客投诉、顾客满意度调查结果等。由营销管理人员将收集到的顾客信息，进行统计和分析，并在营销策略的制定、新顾客的开发、产品和服务改进等方面得到充分运用。</w:t>
      </w:r>
    </w:p>
    <w:p w14:paraId="5A5956F0">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客户投诉的处理信息和结果应在公司内部加以沟通。公司应充分认识顾客投诉对公司利益的下列影响：</w:t>
      </w:r>
    </w:p>
    <w:p w14:paraId="4C9E8F9E">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a）客户投诉处理后，客户更加满意，客户满意度提高；</w:t>
      </w:r>
    </w:p>
    <w:p w14:paraId="0FA489F7">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b）改善同客户的关系，重复性订单增加、传递口碑；</w:t>
      </w:r>
    </w:p>
    <w:p w14:paraId="05B2F15F">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c）降低客户转向竞争对手的可能性；</w:t>
      </w:r>
    </w:p>
    <w:p w14:paraId="49DD5E1B">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d）提高公司产品和服务的质量；</w:t>
      </w:r>
    </w:p>
    <w:p w14:paraId="58422B10">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e）提供未来的业务机会。</w:t>
      </w:r>
    </w:p>
    <w:p w14:paraId="5145336F">
      <w:pPr>
        <w:snapToGrid w:val="0"/>
        <w:spacing w:line="312" w:lineRule="auto"/>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公司积累和分析投诉信息，确定共性问题、识别根本原因及改进的重点，以用于整个组织及合作伙伴的持续改进。</w:t>
      </w:r>
    </w:p>
    <w:p w14:paraId="3AF1475B">
      <w:pPr>
        <w:snapToGrid w:val="0"/>
        <w:spacing w:line="312" w:lineRule="auto"/>
        <w:ind w:firstLine="480" w:firstLineChars="200"/>
        <w:rPr>
          <w:rFonts w:asciiTheme="minorEastAsia" w:hAnsiTheme="minorEastAsia" w:eastAsiaTheme="minorEastAsia"/>
          <w:color w:val="000000"/>
          <w:sz w:val="24"/>
        </w:rPr>
      </w:pPr>
    </w:p>
    <w:p w14:paraId="3AE7C778">
      <w:pPr>
        <w:spacing w:line="360" w:lineRule="auto"/>
        <w:outlineLvl w:val="1"/>
        <w:rPr>
          <w:rFonts w:ascii="宋体" w:hAnsi="宋体"/>
          <w:sz w:val="24"/>
        </w:rPr>
      </w:pPr>
      <w:bookmarkStart w:id="2" w:name="_Toc110414443"/>
      <w:r>
        <w:rPr>
          <w:rFonts w:hint="eastAsia" w:ascii="宋体" w:hAnsi="宋体"/>
          <w:sz w:val="24"/>
        </w:rPr>
        <w:t>三、质量诚信管理</w:t>
      </w:r>
      <w:bookmarkEnd w:id="2"/>
    </w:p>
    <w:p w14:paraId="14FEB9A4">
      <w:pPr>
        <w:snapToGrid w:val="0"/>
        <w:spacing w:line="312" w:lineRule="auto"/>
        <w:ind w:firstLine="484" w:firstLineChars="202"/>
        <w:rPr>
          <w:rFonts w:asciiTheme="minorEastAsia" w:hAnsiTheme="minorEastAsia" w:eastAsiaTheme="minorEastAsia"/>
          <w:bCs/>
          <w:sz w:val="24"/>
        </w:rPr>
      </w:pPr>
      <w:r>
        <w:rPr>
          <w:rFonts w:hint="eastAsia" w:asciiTheme="minorEastAsia" w:hAnsiTheme="minorEastAsia" w:eastAsiaTheme="minorEastAsia"/>
          <w:bCs/>
          <w:sz w:val="24"/>
        </w:rPr>
        <w:t>（一）质量诚信管理</w:t>
      </w:r>
    </w:p>
    <w:p w14:paraId="430953A4">
      <w:pPr>
        <w:snapToGrid w:val="0"/>
        <w:spacing w:line="312" w:lineRule="auto"/>
        <w:ind w:firstLine="484" w:firstLineChars="202"/>
        <w:rPr>
          <w:rFonts w:asciiTheme="minorEastAsia" w:hAnsiTheme="minorEastAsia" w:eastAsiaTheme="minorEastAsia"/>
          <w:bCs/>
          <w:sz w:val="24"/>
        </w:rPr>
      </w:pPr>
      <w:r>
        <w:rPr>
          <w:rFonts w:hint="eastAsia" w:asciiTheme="minorEastAsia" w:hAnsiTheme="minorEastAsia" w:eastAsiaTheme="minorEastAsia"/>
          <w:bCs/>
          <w:sz w:val="24"/>
        </w:rPr>
        <w:t>诚信是公司质量文化的核心组成部分，质量诚信的理念和自律在公司内已经成为了各级人员的共识，是必须遵守的基本职业道德，其全方面的诚信体现在：</w:t>
      </w:r>
    </w:p>
    <w:p w14:paraId="4573085C">
      <w:pPr>
        <w:snapToGrid w:val="0"/>
        <w:spacing w:line="312" w:lineRule="auto"/>
        <w:ind w:firstLine="484" w:firstLineChars="202"/>
        <w:rPr>
          <w:rFonts w:asciiTheme="minorEastAsia" w:hAnsiTheme="minorEastAsia" w:eastAsiaTheme="minorEastAsia"/>
          <w:bCs/>
          <w:sz w:val="24"/>
        </w:rPr>
      </w:pPr>
      <w:r>
        <w:rPr>
          <w:rFonts w:hint="eastAsia" w:asciiTheme="minorEastAsia" w:hAnsiTheme="minorEastAsia" w:eastAsiaTheme="minorEastAsia"/>
          <w:bCs/>
          <w:sz w:val="24"/>
        </w:rPr>
        <w:t>1）建立诚信守法的环境</w:t>
      </w:r>
    </w:p>
    <w:p w14:paraId="4E742B43">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高层领导致力于营造诚信守法的环境，</w:t>
      </w:r>
      <w:r>
        <w:rPr>
          <w:rFonts w:hint="eastAsia" w:asciiTheme="minorEastAsia" w:hAnsiTheme="minorEastAsia" w:eastAsiaTheme="minorEastAsia"/>
          <w:bCs/>
          <w:sz w:val="24"/>
        </w:rPr>
        <w:t>使公司全体员工树立法律法规意识，认识到满足顾客和其它相关方要求，以及执行有关法律、法规的重要性，清楚地了解让顾客满意和相关方满意是最基本的要求，关系到公司的生存和发展；</w:t>
      </w:r>
      <w:r>
        <w:rPr>
          <w:rFonts w:hint="eastAsia" w:asciiTheme="minorEastAsia" w:hAnsiTheme="minorEastAsia" w:eastAsiaTheme="minorEastAsia"/>
          <w:color w:val="000000"/>
          <w:sz w:val="24"/>
        </w:rPr>
        <w:t>公司收集相关法律法规，开展合规性评价，开展法律法规培训，建立商业行为准则和员工商业行为规范，依法诚信纳税，及时足额缴纳各项税款。</w:t>
      </w:r>
    </w:p>
    <w:p w14:paraId="17323B97">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2）营造改进创新环境</w:t>
      </w:r>
    </w:p>
    <w:p w14:paraId="7E78520D">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公司通过完善制度、激励措施，鼓励各部门各层次人员积极参与改进和创新活动，营造改进、创新氛围。</w:t>
      </w:r>
    </w:p>
    <w:p w14:paraId="51DCC2B3">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3）营造快速反应环境</w:t>
      </w:r>
    </w:p>
    <w:p w14:paraId="52B83840">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公司倡导“简单、尊重、快执行”的作风，</w:t>
      </w:r>
      <w:r>
        <w:rPr>
          <w:rFonts w:hint="eastAsia" w:ascii="宋体" w:hAnsi="宋体" w:cs="宋体"/>
          <w:color w:val="000000"/>
          <w:sz w:val="24"/>
        </w:rPr>
        <w:t>实行“精简高效、集中一贯、纵横结合、依靠协力”的管理模式，</w:t>
      </w:r>
      <w:r>
        <w:rPr>
          <w:rFonts w:hint="eastAsia" w:asciiTheme="minorEastAsia" w:hAnsiTheme="minorEastAsia" w:eastAsiaTheme="minorEastAsia"/>
          <w:color w:val="000000"/>
          <w:sz w:val="24"/>
        </w:rPr>
        <w:t>建立快速反应机制。</w:t>
      </w:r>
    </w:p>
    <w:p w14:paraId="77617286">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4）创建学习型组织</w:t>
      </w:r>
    </w:p>
    <w:p w14:paraId="56E354BC">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建立多渠道、系统化的学习和教育培训体系，促进组织和员工的学习。</w:t>
      </w:r>
    </w:p>
    <w:p w14:paraId="6871C639">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5）确保履行产品和服务质量安全的职责</w:t>
      </w:r>
    </w:p>
    <w:p w14:paraId="0C755D91">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公司深入实施质量管理体系、测量管理体系、环境管理体系、职业健康安全管理体系、实验室认可体系、信息安全管理体系、知识产权管理体系、商品售后服务认证。</w:t>
      </w:r>
    </w:p>
    <w:p w14:paraId="07253D69">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6）大力推进品牌建设</w:t>
      </w:r>
    </w:p>
    <w:p w14:paraId="0743E6AE">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制订品牌战略规划，成立独立的品牌部，参与品牌建设活动，开展品牌调研及顾客满意度调查工作，配置资源多渠道品牌推广。</w:t>
      </w:r>
    </w:p>
    <w:p w14:paraId="6E0F1F73">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公司应对品牌进行定位，确定品牌核心价值，制定品牌中长期规划，制定品牌传播推广的措施并有效实施。</w:t>
      </w:r>
    </w:p>
    <w:p w14:paraId="7C68A781">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7）强化风险意识，推进持续经营，积极培养公司未来领导者。</w:t>
      </w:r>
    </w:p>
    <w:p w14:paraId="22D6A622">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8）组织公司绩效评价。</w:t>
      </w:r>
    </w:p>
    <w:p w14:paraId="7D4D63ED">
      <w:pPr>
        <w:snapToGrid w:val="0"/>
        <w:spacing w:line="312" w:lineRule="auto"/>
        <w:ind w:firstLine="484" w:firstLineChars="202"/>
        <w:rPr>
          <w:rFonts w:asciiTheme="minorEastAsia" w:hAnsiTheme="minorEastAsia" w:eastAsiaTheme="minorEastAsia"/>
          <w:color w:val="000000"/>
          <w:sz w:val="24"/>
        </w:rPr>
      </w:pPr>
      <w:r>
        <w:rPr>
          <w:rFonts w:hint="eastAsia" w:asciiTheme="minorEastAsia" w:hAnsiTheme="minorEastAsia" w:eastAsiaTheme="minorEastAsia"/>
          <w:color w:val="000000"/>
          <w:sz w:val="24"/>
        </w:rPr>
        <w:t>公司依照卓越绩效模式，建立领导、战略、顾客与市场、资源、过程管理、测量分析与改进、经验结果度等绩效评价指标，采用了多种方式进行绩效评价。</w:t>
      </w:r>
    </w:p>
    <w:p w14:paraId="34463690">
      <w:pPr>
        <w:spacing w:line="400" w:lineRule="exact"/>
        <w:ind w:firstLine="480" w:firstLineChars="200"/>
        <w:rPr>
          <w:rFonts w:asciiTheme="minorEastAsia" w:hAnsiTheme="minorEastAsia" w:eastAsiaTheme="minorEastAsia"/>
          <w:color w:val="000000"/>
          <w:sz w:val="24"/>
        </w:rPr>
      </w:pPr>
      <w:r>
        <w:rPr>
          <w:rFonts w:hint="eastAsia" w:asciiTheme="minorEastAsia" w:hAnsiTheme="minorEastAsia" w:eastAsiaTheme="minorEastAsia"/>
          <w:color w:val="000000"/>
          <w:sz w:val="24"/>
        </w:rPr>
        <w:t>（二）质量文化建设</w:t>
      </w:r>
    </w:p>
    <w:p w14:paraId="1F111E9C">
      <w:pPr>
        <w:spacing w:line="360" w:lineRule="auto"/>
        <w:ind w:firstLine="480" w:firstLineChars="200"/>
        <w:rPr>
          <w:rFonts w:ascii="宋体" w:hAnsi="宋体"/>
          <w:color w:val="000000"/>
          <w:sz w:val="24"/>
        </w:rPr>
      </w:pPr>
      <w:r>
        <w:rPr>
          <w:rFonts w:hint="eastAsia" w:ascii="宋体" w:hAnsi="宋体" w:cs="Arial"/>
          <w:color w:val="000000"/>
          <w:sz w:val="24"/>
        </w:rPr>
        <w:t>公司</w:t>
      </w:r>
      <w:r>
        <w:rPr>
          <w:rFonts w:ascii="宋体" w:hAnsi="宋体" w:cs="Arial"/>
          <w:color w:val="000000"/>
          <w:sz w:val="24"/>
        </w:rPr>
        <w:t>在发展实践中，始终将企业文化作为发展的支撑点，紧紧围绕企业发展，逐步构建了企业经营管理、企业精神、人文环境等方面独特的价值体系。</w:t>
      </w:r>
    </w:p>
    <w:p w14:paraId="4973B4A7">
      <w:pPr>
        <w:pStyle w:val="6"/>
        <w:spacing w:line="360" w:lineRule="auto"/>
        <w:ind w:firstLine="482" w:firstLineChars="200"/>
      </w:pPr>
      <w:bookmarkStart w:id="3" w:name="_Toc110414444"/>
      <w:r>
        <w:rPr>
          <w:rFonts w:hint="eastAsia" w:ascii="宋体" w:hAnsi="宋体" w:cs="宋体"/>
          <w:b/>
          <w:szCs w:val="21"/>
        </w:rPr>
        <w:t>企业使命</w:t>
      </w:r>
      <w:r>
        <w:rPr>
          <w:rFonts w:hint="eastAsia" w:ascii="宋体" w:hAnsi="宋体" w:cs="宋体"/>
          <w:szCs w:val="21"/>
        </w:rPr>
        <w:t>：“</w:t>
      </w:r>
      <w:r>
        <w:t>向各顾客提供高效、节能、优质的</w:t>
      </w:r>
      <w:r>
        <w:rPr>
          <w:rFonts w:hint="eastAsia"/>
        </w:rPr>
        <w:t>风</w:t>
      </w:r>
      <w:r>
        <w:t>机</w:t>
      </w:r>
      <w:r>
        <w:rPr>
          <w:rFonts w:hint="eastAsia"/>
        </w:rPr>
        <w:t>”</w:t>
      </w:r>
    </w:p>
    <w:p w14:paraId="7CA01B07">
      <w:pPr>
        <w:pStyle w:val="6"/>
        <w:spacing w:line="360" w:lineRule="auto"/>
        <w:ind w:firstLine="482" w:firstLineChars="200"/>
        <w:rPr>
          <w:rFonts w:ascii="宋体" w:hAnsi="宋体" w:cs="宋体"/>
          <w:szCs w:val="21"/>
        </w:rPr>
      </w:pPr>
      <w:r>
        <w:rPr>
          <w:rFonts w:hint="eastAsia" w:ascii="宋体" w:hAnsi="宋体" w:cs="宋体"/>
          <w:b/>
          <w:szCs w:val="21"/>
        </w:rPr>
        <w:t>企业愿景</w:t>
      </w:r>
      <w:r>
        <w:rPr>
          <w:rFonts w:hint="eastAsia" w:ascii="宋体" w:hAnsi="宋体" w:cs="宋体"/>
          <w:szCs w:val="21"/>
        </w:rPr>
        <w:t>：“成为中国风机行业标杆企业”</w:t>
      </w:r>
    </w:p>
    <w:p w14:paraId="186D392D">
      <w:pPr>
        <w:pStyle w:val="6"/>
        <w:spacing w:line="360" w:lineRule="auto"/>
        <w:ind w:firstLine="482" w:firstLineChars="200"/>
        <w:rPr>
          <w:rFonts w:ascii="宋体" w:hAnsi="宋体" w:cs="宋体"/>
          <w:szCs w:val="21"/>
        </w:rPr>
      </w:pPr>
      <w:r>
        <w:rPr>
          <w:rFonts w:hint="eastAsia" w:ascii="宋体" w:hAnsi="宋体" w:cs="宋体"/>
          <w:b/>
          <w:szCs w:val="21"/>
        </w:rPr>
        <w:t>核心价值观：</w:t>
      </w:r>
      <w:r>
        <w:rPr>
          <w:rFonts w:hint="eastAsia" w:ascii="宋体" w:hAnsi="宋体" w:cs="宋体"/>
          <w:bCs/>
          <w:szCs w:val="21"/>
        </w:rPr>
        <w:t>“守正、敬业、激情、卓越、包容、普惠”</w:t>
      </w:r>
    </w:p>
    <w:p w14:paraId="10E5512F">
      <w:pPr>
        <w:pStyle w:val="6"/>
        <w:spacing w:line="360" w:lineRule="auto"/>
        <w:ind w:firstLine="482" w:firstLineChars="200"/>
        <w:rPr>
          <w:rFonts w:ascii="宋体" w:hAnsi="宋体" w:cs="宋体"/>
          <w:szCs w:val="21"/>
        </w:rPr>
      </w:pPr>
      <w:r>
        <w:rPr>
          <w:rFonts w:hint="eastAsia" w:ascii="宋体" w:hAnsi="宋体" w:cs="宋体"/>
          <w:b/>
          <w:szCs w:val="21"/>
        </w:rPr>
        <w:t>经营理念：“</w:t>
      </w:r>
      <w:r>
        <w:rPr>
          <w:rFonts w:hint="eastAsia"/>
        </w:rPr>
        <w:t>以人为本，科技创新、互利共赢”</w:t>
      </w:r>
    </w:p>
    <w:p w14:paraId="4E7F459B">
      <w:pPr>
        <w:spacing w:line="360" w:lineRule="auto"/>
        <w:outlineLvl w:val="1"/>
        <w:rPr>
          <w:rFonts w:ascii="宋体" w:hAnsi="宋体"/>
          <w:sz w:val="24"/>
        </w:rPr>
      </w:pPr>
      <w:r>
        <w:rPr>
          <w:rFonts w:hint="eastAsia" w:ascii="宋体" w:hAnsi="宋体"/>
          <w:sz w:val="24"/>
        </w:rPr>
        <w:t>四、企业质量基础</w:t>
      </w:r>
      <w:bookmarkEnd w:id="3"/>
    </w:p>
    <w:p w14:paraId="2F559B94">
      <w:pPr>
        <w:spacing w:line="400" w:lineRule="exact"/>
        <w:ind w:firstLine="480" w:firstLineChars="200"/>
        <w:outlineLvl w:val="2"/>
        <w:rPr>
          <w:rFonts w:asciiTheme="minorEastAsia" w:hAnsiTheme="minorEastAsia" w:eastAsiaTheme="minorEastAsia"/>
          <w:sz w:val="24"/>
        </w:rPr>
      </w:pPr>
      <w:bookmarkStart w:id="4" w:name="_Toc110414445"/>
      <w:r>
        <w:rPr>
          <w:rFonts w:hint="eastAsia" w:asciiTheme="minorEastAsia" w:hAnsiTheme="minorEastAsia" w:eastAsiaTheme="minorEastAsia"/>
          <w:sz w:val="24"/>
        </w:rPr>
        <w:t>（一）企业产品标准</w:t>
      </w:r>
      <w:bookmarkEnd w:id="4"/>
    </w:p>
    <w:p w14:paraId="516F1807">
      <w:pPr>
        <w:spacing w:line="400" w:lineRule="exact"/>
        <w:ind w:firstLine="480" w:firstLineChars="200"/>
        <w:rPr>
          <w:rFonts w:asciiTheme="minorEastAsia" w:hAnsiTheme="minorEastAsia" w:eastAsiaTheme="minorEastAsia"/>
          <w:color w:val="FF0000"/>
          <w:sz w:val="24"/>
        </w:rPr>
      </w:pPr>
      <w:r>
        <w:rPr>
          <w:rFonts w:hint="eastAsia" w:ascii="宋体" w:hAnsi="宋体"/>
          <w:sz w:val="24"/>
        </w:rPr>
        <w:t>公司拥有多人的技术研发团队，经过持续的开发创新，为客户提供行业领先的灌封胶。截止目前，公司共有专利29个，其中发明专利9个、实用新型专利20个。</w:t>
      </w:r>
      <w:r>
        <w:rPr>
          <w:rFonts w:asciiTheme="minorEastAsia" w:hAnsiTheme="minorEastAsia" w:eastAsiaTheme="minorEastAsia"/>
          <w:color w:val="FF0000"/>
          <w:sz w:val="24"/>
        </w:rPr>
        <w:t xml:space="preserve"> </w:t>
      </w:r>
    </w:p>
    <w:p w14:paraId="4A8297B9">
      <w:pPr>
        <w:spacing w:line="400" w:lineRule="exact"/>
        <w:ind w:firstLine="480" w:firstLineChars="200"/>
        <w:outlineLvl w:val="2"/>
        <w:rPr>
          <w:rFonts w:asciiTheme="minorEastAsia" w:hAnsiTheme="minorEastAsia" w:eastAsiaTheme="minorEastAsia"/>
          <w:sz w:val="24"/>
        </w:rPr>
      </w:pPr>
      <w:bookmarkStart w:id="5" w:name="_Toc110414446"/>
      <w:r>
        <w:rPr>
          <w:rFonts w:hint="eastAsia" w:asciiTheme="minorEastAsia" w:hAnsiTheme="minorEastAsia" w:eastAsiaTheme="minorEastAsia"/>
          <w:sz w:val="24"/>
        </w:rPr>
        <w:t>（二）企业计量水平</w:t>
      </w:r>
      <w:bookmarkEnd w:id="5"/>
    </w:p>
    <w:p w14:paraId="18B29983">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公司严格执行《中华人民共和国计量法》等文件法规，从原材料采购、过程管理、生产设备、检验设备、工序检验、成品检验等环节建立了一整套管理文件和控制方法。设有专兼职计量人员负责公司的在用计量设备管理、配备和定期校检工作，注重对计量管理人员的专业培训，为公司的计量管理的规范化提供了有力的保障。</w:t>
      </w:r>
    </w:p>
    <w:p w14:paraId="630DE463">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为确保产品质量，在产品生产工艺中严格过程控制，对生产工艺过程中的原辅材料等加强计量管理，确保计量设备的正常运行和计量的准确性。</w:t>
      </w:r>
    </w:p>
    <w:p w14:paraId="6426CA36">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对计量器具从采购、入库出库严格按照审批计划和管理程序执行，仓库有专人保管计量器具，建立台帐和登记手续，计量器具的领用出库必须通过检定，有检定合格证方可投入使用；对在用的计量器具严格按周期检定，强化现场检查和监管，掌握其使用情况，发现问题及时处理；对存在问题部门提出整改意见，采取积极有效措施进行整改，为生产优质产品奠定了坚实的计量基础。</w:t>
      </w:r>
    </w:p>
    <w:p w14:paraId="3D2B354F">
      <w:pPr>
        <w:spacing w:line="400" w:lineRule="exact"/>
        <w:ind w:firstLine="480" w:firstLineChars="200"/>
        <w:outlineLvl w:val="2"/>
        <w:rPr>
          <w:rFonts w:asciiTheme="minorEastAsia" w:hAnsiTheme="minorEastAsia" w:eastAsiaTheme="minorEastAsia"/>
          <w:sz w:val="24"/>
        </w:rPr>
      </w:pPr>
      <w:bookmarkStart w:id="6" w:name="_Toc110414447"/>
      <w:r>
        <w:rPr>
          <w:rFonts w:hint="eastAsia" w:asciiTheme="minorEastAsia" w:hAnsiTheme="minorEastAsia" w:eastAsiaTheme="minorEastAsia"/>
          <w:sz w:val="24"/>
        </w:rPr>
        <w:t>（三）认证认可情况</w:t>
      </w:r>
      <w:bookmarkEnd w:id="6"/>
    </w:p>
    <w:p w14:paraId="4CF4DCA5">
      <w:pPr>
        <w:spacing w:line="4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为全面提升产品质量，确保各项生产经营活动规范、标准，公司已先后通过ISO9001、 ISO14001、ISO45001等认证。</w:t>
      </w:r>
    </w:p>
    <w:p w14:paraId="0038B6ED">
      <w:pPr>
        <w:spacing w:line="4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公司坚持“持续改进环境行为，争取更好的环境绩效；预防污染，有效控制环境因素；节能降耗，合理使用资源，实现可持续发展；遵守法律法规及其他要求；不断强化员工环保意识，营造绿色环保产品。”的环境方针和“诚信守法，以人为本；安全第一，持续改进。”职业健康安全管理方针，通过加强对生产全过程的污染控制，能源、资源的合理使用，不断降低能耗，节约成本，减少污染。公司大力改善生活环境，倡导健康生活方式，关注员工职业健康，努力改善工作环境。为确保体系的高效运行、持续改进，采用内审加外审的体系运行模式，针对存在的问题和不足进行改进和完善，结合管理提升活动，对管理文件、记录进行梳理，真正实现闭环式管理和文件的标准化管理模式，确保公司体系运行的规范、科学、高效。</w:t>
      </w:r>
    </w:p>
    <w:p w14:paraId="6527B05C">
      <w:pPr>
        <w:spacing w:line="400" w:lineRule="exact"/>
        <w:ind w:firstLine="480" w:firstLineChars="200"/>
        <w:outlineLvl w:val="2"/>
        <w:rPr>
          <w:rFonts w:asciiTheme="minorEastAsia" w:hAnsiTheme="minorEastAsia" w:eastAsiaTheme="minorEastAsia"/>
          <w:sz w:val="24"/>
        </w:rPr>
      </w:pPr>
      <w:bookmarkStart w:id="7" w:name="_Toc110414448"/>
      <w:r>
        <w:rPr>
          <w:rFonts w:hint="eastAsia" w:asciiTheme="minorEastAsia" w:hAnsiTheme="minorEastAsia" w:eastAsiaTheme="minorEastAsia"/>
          <w:sz w:val="24"/>
        </w:rPr>
        <w:t>（四）质量检验情况</w:t>
      </w:r>
      <w:bookmarkEnd w:id="7"/>
    </w:p>
    <w:p w14:paraId="3ABE3B94">
      <w:pPr>
        <w:spacing w:line="400" w:lineRule="exact"/>
        <w:ind w:firstLine="480" w:firstLineChars="200"/>
        <w:outlineLvl w:val="2"/>
        <w:rPr>
          <w:rFonts w:asciiTheme="minorEastAsia" w:hAnsiTheme="minorEastAsia" w:eastAsiaTheme="minorEastAsia"/>
          <w:sz w:val="24"/>
        </w:rPr>
      </w:pPr>
    </w:p>
    <w:p w14:paraId="66C0DDDA">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rPr>
        <w:t>公司拥有完善的质量保证体系及质量控制系统；公司始终坚持以顾客为焦点，坚持“</w:t>
      </w:r>
      <w:r>
        <w:rPr>
          <w:rFonts w:hint="eastAsia" w:ascii="宋体" w:hAnsi="宋体"/>
          <w:sz w:val="24"/>
        </w:rPr>
        <w:t>从企业管理中要质量，从技术进步中争效益</w:t>
      </w:r>
      <w:r>
        <w:rPr>
          <w:rFonts w:hint="eastAsia" w:asciiTheme="minorEastAsia" w:hAnsiTheme="minorEastAsia" w:eastAsiaTheme="minorEastAsia"/>
          <w:sz w:val="24"/>
        </w:rPr>
        <w:t>”的质量方针，有效保证研发质量、物料质量、制造质量及售后服务质量；质量控制涉及供方、进货、过程、出厂、售后等全供应链流程，并持续改进。公司产品质量赢得客户广泛认可。</w:t>
      </w:r>
    </w:p>
    <w:p w14:paraId="326F91DB">
      <w:pPr>
        <w:spacing w:line="400" w:lineRule="exact"/>
        <w:ind w:firstLine="480" w:firstLineChars="200"/>
        <w:rPr>
          <w:rFonts w:asciiTheme="minorEastAsia" w:hAnsiTheme="minorEastAsia" w:eastAsiaTheme="minorEastAsia"/>
          <w:sz w:val="24"/>
        </w:rPr>
      </w:pPr>
    </w:p>
    <w:p w14:paraId="2206F357">
      <w:pPr>
        <w:spacing w:line="360" w:lineRule="auto"/>
        <w:outlineLvl w:val="1"/>
        <w:rPr>
          <w:rFonts w:cs="宋体" w:asciiTheme="minorEastAsia" w:hAnsiTheme="minorEastAsia" w:eastAsiaTheme="minorEastAsia"/>
          <w:color w:val="000000"/>
          <w:kern w:val="0"/>
          <w:sz w:val="24"/>
        </w:rPr>
      </w:pPr>
      <w:bookmarkStart w:id="8" w:name="_Toc110414449"/>
      <w:r>
        <w:rPr>
          <w:rFonts w:hint="eastAsia" w:cs="宋体" w:asciiTheme="minorEastAsia" w:hAnsiTheme="minorEastAsia" w:eastAsiaTheme="minorEastAsia"/>
          <w:color w:val="000000"/>
          <w:kern w:val="0"/>
          <w:sz w:val="24"/>
        </w:rPr>
        <w:t>五、产品质量责任</w:t>
      </w:r>
      <w:bookmarkEnd w:id="8"/>
    </w:p>
    <w:p w14:paraId="179A209C">
      <w:pPr>
        <w:spacing w:line="400" w:lineRule="exact"/>
        <w:ind w:firstLine="480" w:firstLineChars="200"/>
        <w:outlineLvl w:val="2"/>
        <w:rPr>
          <w:rFonts w:asciiTheme="minorEastAsia" w:hAnsiTheme="minorEastAsia" w:eastAsiaTheme="minorEastAsia"/>
          <w:sz w:val="24"/>
        </w:rPr>
      </w:pPr>
      <w:bookmarkStart w:id="9" w:name="_Toc110414450"/>
      <w:r>
        <w:rPr>
          <w:rFonts w:hint="eastAsia" w:asciiTheme="minorEastAsia" w:hAnsiTheme="minorEastAsia" w:eastAsiaTheme="minorEastAsia"/>
          <w:sz w:val="24"/>
        </w:rPr>
        <w:t>（一）产品质量水平</w:t>
      </w:r>
      <w:bookmarkEnd w:id="9"/>
    </w:p>
    <w:p w14:paraId="74767723">
      <w:pPr>
        <w:spacing w:line="440" w:lineRule="exact"/>
        <w:ind w:firstLine="480" w:firstLineChars="200"/>
        <w:rPr>
          <w:sz w:val="24"/>
        </w:rPr>
      </w:pPr>
      <w:r>
        <w:rPr>
          <w:rFonts w:hint="eastAsia"/>
          <w:sz w:val="24"/>
        </w:rPr>
        <w:t>公司产品的性能对顾客的需求和期望是至关重要的。公司一直十分重视技术创新和研发质量管理，研发费用投入金额逐年递增，占销售收入3%以上。</w:t>
      </w:r>
    </w:p>
    <w:p w14:paraId="72662EB6">
      <w:pPr>
        <w:spacing w:line="420" w:lineRule="exact"/>
        <w:ind w:firstLine="482"/>
        <w:rPr>
          <w:sz w:val="24"/>
        </w:rPr>
      </w:pPr>
      <w:r>
        <w:rPr>
          <w:rFonts w:hint="eastAsia"/>
          <w:sz w:val="24"/>
        </w:rPr>
        <w:t>产品质量可靠首先需要设计质量保证，从公司研发资源、技术能力、检测能力、流程管控等方面可以看出，研发质量管理可以保障可靠的产品质量。</w:t>
      </w:r>
    </w:p>
    <w:p w14:paraId="47B65859">
      <w:pPr>
        <w:pStyle w:val="35"/>
        <w:keepNext/>
        <w:keepLines/>
        <w:spacing w:line="420" w:lineRule="exact"/>
        <w:ind w:firstLine="0" w:firstLineChars="0"/>
        <w:outlineLvl w:val="3"/>
        <w:rPr>
          <w:rFonts w:ascii="微软雅黑" w:hAnsi="微软雅黑" w:eastAsia="微软雅黑"/>
          <w:b/>
          <w:kern w:val="0"/>
          <w:sz w:val="28"/>
          <w:szCs w:val="28"/>
        </w:rPr>
        <w:sectPr>
          <w:pgSz w:w="11907" w:h="16839"/>
          <w:pgMar w:top="1440" w:right="1797" w:bottom="1440" w:left="1797" w:header="851" w:footer="992" w:gutter="0"/>
          <w:cols w:space="720" w:num="1"/>
          <w:docGrid w:linePitch="312" w:charSpace="0"/>
        </w:sectPr>
      </w:pPr>
    </w:p>
    <w:p w14:paraId="1F6814BB">
      <w:pPr>
        <w:spacing w:line="400" w:lineRule="exact"/>
        <w:ind w:firstLine="480" w:firstLineChars="200"/>
        <w:outlineLvl w:val="2"/>
        <w:rPr>
          <w:rFonts w:asciiTheme="minorEastAsia" w:hAnsiTheme="minorEastAsia" w:eastAsiaTheme="minorEastAsia"/>
          <w:sz w:val="24"/>
        </w:rPr>
      </w:pPr>
      <w:bookmarkStart w:id="10" w:name="_Toc110414451"/>
      <w:r>
        <w:rPr>
          <w:rFonts w:hint="eastAsia" w:asciiTheme="minorEastAsia" w:hAnsiTheme="minorEastAsia" w:eastAsiaTheme="minorEastAsia"/>
          <w:sz w:val="24"/>
        </w:rPr>
        <w:t>（二）产品售后责任</w:t>
      </w:r>
      <w:bookmarkEnd w:id="10"/>
    </w:p>
    <w:p w14:paraId="0D18DFB0">
      <w:pPr>
        <w:spacing w:line="440" w:lineRule="exact"/>
        <w:ind w:firstLine="480" w:firstLineChars="200"/>
        <w:rPr>
          <w:rFonts w:ascii="宋体" w:hAnsi="宋体"/>
          <w:color w:val="000000"/>
          <w:sz w:val="24"/>
        </w:rPr>
      </w:pPr>
      <w:r>
        <w:rPr>
          <w:rFonts w:hint="eastAsia" w:ascii="宋体" w:hAnsi="宋体"/>
          <w:color w:val="000000"/>
          <w:sz w:val="24"/>
        </w:rPr>
        <w:t>公司坚持以顾客为中心，不断提升服务水平。为满足顾客对准时交付的时间要求，公司从营销、技术、生产和采购等各环节严控时间，准时交付率不断提高。客户投诉处理时间、客户投诉率和投诉处理满意情况等关键指标也取得了较好的效果。</w:t>
      </w:r>
    </w:p>
    <w:p w14:paraId="26548AAA">
      <w:pPr>
        <w:spacing w:line="400" w:lineRule="exact"/>
        <w:ind w:firstLine="480" w:firstLineChars="200"/>
        <w:outlineLvl w:val="2"/>
        <w:rPr>
          <w:rFonts w:asciiTheme="minorEastAsia" w:hAnsiTheme="minorEastAsia" w:eastAsiaTheme="minorEastAsia"/>
          <w:sz w:val="24"/>
        </w:rPr>
      </w:pPr>
      <w:bookmarkStart w:id="11" w:name="_Toc110414452"/>
      <w:r>
        <w:rPr>
          <w:rFonts w:hint="eastAsia" w:asciiTheme="minorEastAsia" w:hAnsiTheme="minorEastAsia" w:eastAsiaTheme="minorEastAsia"/>
          <w:sz w:val="24"/>
        </w:rPr>
        <w:t>（三）企业社会责任</w:t>
      </w:r>
      <w:bookmarkEnd w:id="11"/>
    </w:p>
    <w:p w14:paraId="0AA09C8E">
      <w:pPr>
        <w:spacing w:line="440" w:lineRule="exact"/>
        <w:ind w:firstLine="480" w:firstLineChars="200"/>
        <w:rPr>
          <w:rFonts w:ascii="宋体" w:hAnsi="宋体"/>
          <w:color w:val="000000"/>
          <w:sz w:val="24"/>
        </w:rPr>
      </w:pPr>
      <w:r>
        <w:rPr>
          <w:rFonts w:hint="eastAsia" w:ascii="宋体" w:hAnsi="宋体"/>
          <w:color w:val="000000"/>
          <w:sz w:val="24"/>
        </w:rPr>
        <w:t>公司的财富源于社会，回馈社会是公司的应尽之责。公司积极关心弱势群体，带动社会就业。公司积极响应国家相关企业申办福利企业的相关政策，吸纳残疾人就业，扶助残疾人自强自力，保障残疾人合法权益。</w:t>
      </w:r>
    </w:p>
    <w:p w14:paraId="33927087">
      <w:pPr>
        <w:spacing w:line="440" w:lineRule="exact"/>
        <w:ind w:firstLine="480" w:firstLineChars="200"/>
        <w:rPr>
          <w:rFonts w:ascii="宋体" w:hAnsi="宋体"/>
          <w:color w:val="000000"/>
          <w:sz w:val="24"/>
        </w:rPr>
      </w:pPr>
      <w:r>
        <w:rPr>
          <w:rFonts w:hint="eastAsia" w:ascii="宋体" w:hAnsi="宋体"/>
          <w:color w:val="000000"/>
          <w:sz w:val="24"/>
        </w:rPr>
        <w:t>公司在慈善、社会支持等方面的捐款数万元。同时，公司积极响应政府相关政策，积极参与城市建设。组织全体员工积极参加每年的“慈善捐助”活动；</w:t>
      </w:r>
    </w:p>
    <w:p w14:paraId="568BC0D7">
      <w:pPr>
        <w:spacing w:line="400" w:lineRule="exact"/>
        <w:ind w:firstLine="480" w:firstLineChars="200"/>
        <w:outlineLvl w:val="2"/>
        <w:rPr>
          <w:rFonts w:asciiTheme="minorEastAsia" w:hAnsiTheme="minorEastAsia" w:eastAsiaTheme="minorEastAsia"/>
          <w:b/>
          <w:sz w:val="24"/>
        </w:rPr>
      </w:pPr>
      <w:bookmarkStart w:id="12" w:name="_Toc110414453"/>
      <w:r>
        <w:rPr>
          <w:rFonts w:hint="eastAsia" w:asciiTheme="minorEastAsia" w:hAnsiTheme="minorEastAsia" w:eastAsiaTheme="minorEastAsia"/>
          <w:sz w:val="24"/>
        </w:rPr>
        <w:t>（</w:t>
      </w:r>
      <w:r>
        <w:rPr>
          <w:rFonts w:asciiTheme="minorEastAsia" w:hAnsiTheme="minorEastAsia" w:eastAsiaTheme="minorEastAsia"/>
          <w:sz w:val="24"/>
        </w:rPr>
        <w:t>四</w:t>
      </w:r>
      <w:r>
        <w:rPr>
          <w:rFonts w:hint="eastAsia" w:asciiTheme="minorEastAsia" w:hAnsiTheme="minorEastAsia" w:eastAsiaTheme="minorEastAsia"/>
          <w:sz w:val="24"/>
        </w:rPr>
        <w:t>）质量信用记录</w:t>
      </w:r>
      <w:bookmarkEnd w:id="12"/>
    </w:p>
    <w:p w14:paraId="751B0787">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在质量领域，公司取得了许多的卓越成绩，多次获得各级政府主管部门和行业协会的表彰和奖励。</w:t>
      </w:r>
    </w:p>
    <w:p w14:paraId="74C49441">
      <w:pPr>
        <w:widowControl/>
        <w:jc w:val="center"/>
        <w:rPr>
          <w:rFonts w:cs="宋体" w:asciiTheme="minorEastAsia" w:hAnsiTheme="minorEastAsia" w:eastAsiaTheme="minorEastAsia"/>
          <w:color w:val="000000"/>
          <w:kern w:val="0"/>
          <w:sz w:val="24"/>
        </w:rPr>
      </w:pPr>
    </w:p>
    <w:p w14:paraId="1266F536">
      <w:pPr>
        <w:widowControl/>
        <w:jc w:val="center"/>
        <w:rPr>
          <w:rFonts w:cs="宋体" w:asciiTheme="minorEastAsia" w:hAnsiTheme="minorEastAsia" w:eastAsiaTheme="minorEastAsia"/>
          <w:color w:val="000000"/>
          <w:kern w:val="0"/>
          <w:sz w:val="24"/>
        </w:rPr>
      </w:pPr>
    </w:p>
    <w:p w14:paraId="2B313F2F">
      <w:pPr>
        <w:widowControl/>
        <w:jc w:val="center"/>
        <w:rPr>
          <w:rFonts w:cs="宋体" w:asciiTheme="minorEastAsia" w:hAnsiTheme="minorEastAsia" w:eastAsiaTheme="minorEastAsia"/>
          <w:color w:val="000000"/>
          <w:kern w:val="0"/>
          <w:sz w:val="24"/>
        </w:rPr>
      </w:pPr>
    </w:p>
    <w:p w14:paraId="206E9732">
      <w:pPr>
        <w:widowControl/>
        <w:jc w:val="center"/>
        <w:rPr>
          <w:rFonts w:cs="宋体" w:asciiTheme="minorEastAsia" w:hAnsiTheme="minorEastAsia" w:eastAsiaTheme="minorEastAsia"/>
          <w:color w:val="000000"/>
          <w:kern w:val="0"/>
          <w:sz w:val="28"/>
        </w:rPr>
      </w:pPr>
      <w:r>
        <w:rPr>
          <w:rFonts w:hint="eastAsia" w:cs="宋体" w:asciiTheme="minorEastAsia" w:hAnsiTheme="minorEastAsia" w:eastAsiaTheme="minorEastAsia"/>
          <w:color w:val="000000"/>
          <w:kern w:val="0"/>
          <w:sz w:val="28"/>
        </w:rPr>
        <w:t>第三部分报告结语</w:t>
      </w:r>
    </w:p>
    <w:p w14:paraId="4DCF5FA9">
      <w:pPr>
        <w:widowControl/>
        <w:jc w:val="center"/>
        <w:rPr>
          <w:rFonts w:cs="宋体" w:asciiTheme="minorEastAsia" w:hAnsiTheme="minorEastAsia" w:eastAsiaTheme="minorEastAsia"/>
          <w:color w:val="000000"/>
          <w:kern w:val="0"/>
          <w:sz w:val="24"/>
        </w:rPr>
      </w:pPr>
    </w:p>
    <w:p w14:paraId="7B89E2F1">
      <w:pPr>
        <w:spacing w:line="4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经过多年的发展和创新使公司在混流风机</w:t>
      </w:r>
      <w:r>
        <w:rPr>
          <w:rFonts w:hint="eastAsia" w:ascii="宋体" w:hAnsi="宋体"/>
          <w:sz w:val="24"/>
        </w:rPr>
        <w:t>产业</w:t>
      </w:r>
      <w:r>
        <w:rPr>
          <w:rFonts w:hint="eastAsia" w:asciiTheme="minorEastAsia" w:hAnsiTheme="minorEastAsia" w:eastAsiaTheme="minorEastAsia"/>
          <w:sz w:val="24"/>
        </w:rPr>
        <w:t>领域已成为市场公认的领导品牌。公司国内业务覆盖国内外，是目前行业内产品齐全、技术储备深厚的行业标杆。</w:t>
      </w:r>
    </w:p>
    <w:p w14:paraId="663795AE">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公司凭借专注和执着，持续不断的创新和投入，紧抓“互联网+工业4.0”思维，将持续努力，打造一个具有国际竞争力、具有互联网思维专注于风机行业整体解决方案的高科技企业，迎接更加绚烂的明天！</w:t>
      </w:r>
    </w:p>
    <w:sectPr>
      <w:headerReference r:id="rId5" w:type="default"/>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Times New Roman"/>
    <w:panose1 w:val="00000000000000000000"/>
    <w:charset w:val="00"/>
    <w:family w:val="auto"/>
    <w:pitch w:val="default"/>
    <w:sig w:usb0="00000000" w:usb1="00000000" w:usb2="0000001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85591"/>
    </w:sdtPr>
    <w:sdtContent>
      <w:p w14:paraId="330EDDEE">
        <w:pPr>
          <w:pStyle w:val="10"/>
          <w:jc w:val="center"/>
        </w:pPr>
        <w:r>
          <w:fldChar w:fldCharType="begin"/>
        </w:r>
        <w:r>
          <w:instrText xml:space="preserve"> PAGE   \* MERGEFORMAT </w:instrText>
        </w:r>
        <w:r>
          <w:fldChar w:fldCharType="separate"/>
        </w:r>
        <w:r>
          <w:rPr>
            <w:lang w:val="zh-CN"/>
          </w:rPr>
          <w:t>2</w:t>
        </w:r>
        <w:r>
          <w:rPr>
            <w:lang w:val="zh-CN"/>
          </w:rPr>
          <w:fldChar w:fldCharType="end"/>
        </w:r>
      </w:p>
    </w:sdtContent>
  </w:sdt>
  <w:p w14:paraId="16DF982F">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63ED3">
    <w:pPr>
      <w:pStyle w:val="11"/>
    </w:pPr>
    <w:r>
      <w:rPr>
        <w:rFonts w:hint="eastAsia"/>
      </w:rPr>
      <w:t>浙江惠创风机有限公司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4B80">
    <w:pPr>
      <w:pStyle w:val="11"/>
    </w:pPr>
    <w:r>
      <w:rPr>
        <w:rFonts w:hint="eastAsia"/>
        <w:lang w:val="en-US" w:eastAsia="zh-CN"/>
      </w:rPr>
      <w:t>浙江惠创风机</w:t>
    </w:r>
    <w:r>
      <w:rPr>
        <w:rFonts w:hint="eastAsia"/>
      </w:rPr>
      <w:t>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kZjMwYjY1M2E1NGM4ZTNlNjg3NGMwNzA0NjhkZDQifQ=="/>
  </w:docVars>
  <w:rsids>
    <w:rsidRoot w:val="00F770AB"/>
    <w:rsid w:val="00003AAB"/>
    <w:rsid w:val="0000437A"/>
    <w:rsid w:val="0005426B"/>
    <w:rsid w:val="00055EAD"/>
    <w:rsid w:val="00055EEB"/>
    <w:rsid w:val="00066348"/>
    <w:rsid w:val="00086A3A"/>
    <w:rsid w:val="00092166"/>
    <w:rsid w:val="000A0C47"/>
    <w:rsid w:val="000B35CF"/>
    <w:rsid w:val="000D588F"/>
    <w:rsid w:val="000E285B"/>
    <w:rsid w:val="000E55D8"/>
    <w:rsid w:val="0010509C"/>
    <w:rsid w:val="0011418D"/>
    <w:rsid w:val="00114815"/>
    <w:rsid w:val="0012358B"/>
    <w:rsid w:val="00151EE1"/>
    <w:rsid w:val="00153A26"/>
    <w:rsid w:val="00162BB4"/>
    <w:rsid w:val="00167CD7"/>
    <w:rsid w:val="001B1DF8"/>
    <w:rsid w:val="001D0525"/>
    <w:rsid w:val="001E71C5"/>
    <w:rsid w:val="001F6AB8"/>
    <w:rsid w:val="002064E0"/>
    <w:rsid w:val="00206FB1"/>
    <w:rsid w:val="00207CA5"/>
    <w:rsid w:val="002230CB"/>
    <w:rsid w:val="00241D3F"/>
    <w:rsid w:val="00261706"/>
    <w:rsid w:val="00265BC0"/>
    <w:rsid w:val="002664DB"/>
    <w:rsid w:val="00284F0E"/>
    <w:rsid w:val="00285747"/>
    <w:rsid w:val="00293B92"/>
    <w:rsid w:val="002B1144"/>
    <w:rsid w:val="002B1FC9"/>
    <w:rsid w:val="002B59A9"/>
    <w:rsid w:val="002B62A7"/>
    <w:rsid w:val="002D1471"/>
    <w:rsid w:val="002D3E3D"/>
    <w:rsid w:val="002D5787"/>
    <w:rsid w:val="002E4C47"/>
    <w:rsid w:val="002F047A"/>
    <w:rsid w:val="002F314A"/>
    <w:rsid w:val="00303FA0"/>
    <w:rsid w:val="00305248"/>
    <w:rsid w:val="00320D6F"/>
    <w:rsid w:val="003273DA"/>
    <w:rsid w:val="0033624C"/>
    <w:rsid w:val="0035216E"/>
    <w:rsid w:val="00365814"/>
    <w:rsid w:val="003943ED"/>
    <w:rsid w:val="00396FC6"/>
    <w:rsid w:val="003A0FEE"/>
    <w:rsid w:val="003A52F1"/>
    <w:rsid w:val="003B3CCF"/>
    <w:rsid w:val="003C0E19"/>
    <w:rsid w:val="003D353A"/>
    <w:rsid w:val="003D3D6F"/>
    <w:rsid w:val="003E54BC"/>
    <w:rsid w:val="003F4344"/>
    <w:rsid w:val="003F6B1A"/>
    <w:rsid w:val="003F78D3"/>
    <w:rsid w:val="0041040D"/>
    <w:rsid w:val="004225A3"/>
    <w:rsid w:val="00433EBB"/>
    <w:rsid w:val="0043570E"/>
    <w:rsid w:val="00447CB3"/>
    <w:rsid w:val="004725AA"/>
    <w:rsid w:val="00490FFB"/>
    <w:rsid w:val="004C50C7"/>
    <w:rsid w:val="004C7623"/>
    <w:rsid w:val="004D1F32"/>
    <w:rsid w:val="004D5DBB"/>
    <w:rsid w:val="004E509B"/>
    <w:rsid w:val="00505A5B"/>
    <w:rsid w:val="00507E7D"/>
    <w:rsid w:val="00511CCA"/>
    <w:rsid w:val="0052029F"/>
    <w:rsid w:val="005275F3"/>
    <w:rsid w:val="00557A0B"/>
    <w:rsid w:val="005A4C21"/>
    <w:rsid w:val="005B31E6"/>
    <w:rsid w:val="005C11F4"/>
    <w:rsid w:val="005D4E79"/>
    <w:rsid w:val="005D516C"/>
    <w:rsid w:val="005E0D42"/>
    <w:rsid w:val="005E386E"/>
    <w:rsid w:val="005F08B1"/>
    <w:rsid w:val="0060588C"/>
    <w:rsid w:val="00611AFB"/>
    <w:rsid w:val="006222BC"/>
    <w:rsid w:val="00627277"/>
    <w:rsid w:val="006404EF"/>
    <w:rsid w:val="00646D17"/>
    <w:rsid w:val="00654D88"/>
    <w:rsid w:val="00655BFD"/>
    <w:rsid w:val="00657FD7"/>
    <w:rsid w:val="00670549"/>
    <w:rsid w:val="00676AE5"/>
    <w:rsid w:val="006818A5"/>
    <w:rsid w:val="00687A46"/>
    <w:rsid w:val="00693C02"/>
    <w:rsid w:val="006A1169"/>
    <w:rsid w:val="006A34DA"/>
    <w:rsid w:val="006A4230"/>
    <w:rsid w:val="006E57C7"/>
    <w:rsid w:val="0070319C"/>
    <w:rsid w:val="00704F21"/>
    <w:rsid w:val="00711D50"/>
    <w:rsid w:val="007227D2"/>
    <w:rsid w:val="00740ADE"/>
    <w:rsid w:val="007474F0"/>
    <w:rsid w:val="00764352"/>
    <w:rsid w:val="0077279F"/>
    <w:rsid w:val="007766D4"/>
    <w:rsid w:val="00794BCD"/>
    <w:rsid w:val="007B1610"/>
    <w:rsid w:val="007C5DEF"/>
    <w:rsid w:val="007E230B"/>
    <w:rsid w:val="007E26AA"/>
    <w:rsid w:val="007E45D9"/>
    <w:rsid w:val="00804374"/>
    <w:rsid w:val="00816808"/>
    <w:rsid w:val="00816F7A"/>
    <w:rsid w:val="00830112"/>
    <w:rsid w:val="008404B7"/>
    <w:rsid w:val="00856ADB"/>
    <w:rsid w:val="00860DEC"/>
    <w:rsid w:val="00867C7B"/>
    <w:rsid w:val="00872FB4"/>
    <w:rsid w:val="0089427B"/>
    <w:rsid w:val="008B1E1F"/>
    <w:rsid w:val="008C0648"/>
    <w:rsid w:val="008C0F94"/>
    <w:rsid w:val="008D2B98"/>
    <w:rsid w:val="008D3C61"/>
    <w:rsid w:val="009303A5"/>
    <w:rsid w:val="00980341"/>
    <w:rsid w:val="009978E4"/>
    <w:rsid w:val="009A0E5F"/>
    <w:rsid w:val="009B27DB"/>
    <w:rsid w:val="009B2B5B"/>
    <w:rsid w:val="009D34B3"/>
    <w:rsid w:val="009E4EA9"/>
    <w:rsid w:val="009E5876"/>
    <w:rsid w:val="009E5DD1"/>
    <w:rsid w:val="00A02E73"/>
    <w:rsid w:val="00A04417"/>
    <w:rsid w:val="00A27519"/>
    <w:rsid w:val="00A3218F"/>
    <w:rsid w:val="00A42B0F"/>
    <w:rsid w:val="00A44395"/>
    <w:rsid w:val="00A54077"/>
    <w:rsid w:val="00A60A0B"/>
    <w:rsid w:val="00A94ECB"/>
    <w:rsid w:val="00AD781D"/>
    <w:rsid w:val="00AE0301"/>
    <w:rsid w:val="00AE0769"/>
    <w:rsid w:val="00AE1C8A"/>
    <w:rsid w:val="00AE3ED2"/>
    <w:rsid w:val="00AF271B"/>
    <w:rsid w:val="00B15618"/>
    <w:rsid w:val="00B30B96"/>
    <w:rsid w:val="00B519D3"/>
    <w:rsid w:val="00B71836"/>
    <w:rsid w:val="00B96543"/>
    <w:rsid w:val="00C35FB3"/>
    <w:rsid w:val="00C61A7C"/>
    <w:rsid w:val="00C64D6B"/>
    <w:rsid w:val="00C65CB1"/>
    <w:rsid w:val="00C750F3"/>
    <w:rsid w:val="00C95872"/>
    <w:rsid w:val="00CA3F26"/>
    <w:rsid w:val="00CC2F6A"/>
    <w:rsid w:val="00CF762E"/>
    <w:rsid w:val="00D247B8"/>
    <w:rsid w:val="00D421E0"/>
    <w:rsid w:val="00D43C19"/>
    <w:rsid w:val="00D44D66"/>
    <w:rsid w:val="00D70F21"/>
    <w:rsid w:val="00D83E82"/>
    <w:rsid w:val="00DA55E0"/>
    <w:rsid w:val="00DB3AF7"/>
    <w:rsid w:val="00DC1A41"/>
    <w:rsid w:val="00DF1019"/>
    <w:rsid w:val="00E0116B"/>
    <w:rsid w:val="00E02F5C"/>
    <w:rsid w:val="00E05AD8"/>
    <w:rsid w:val="00E12567"/>
    <w:rsid w:val="00E12A85"/>
    <w:rsid w:val="00E351C0"/>
    <w:rsid w:val="00E528F4"/>
    <w:rsid w:val="00E53A26"/>
    <w:rsid w:val="00E5455C"/>
    <w:rsid w:val="00E5497F"/>
    <w:rsid w:val="00E70A3D"/>
    <w:rsid w:val="00E73CAB"/>
    <w:rsid w:val="00E84698"/>
    <w:rsid w:val="00EA16CF"/>
    <w:rsid w:val="00EC75F3"/>
    <w:rsid w:val="00EC7AEB"/>
    <w:rsid w:val="00ED516F"/>
    <w:rsid w:val="00ED687E"/>
    <w:rsid w:val="00EE0AF5"/>
    <w:rsid w:val="00F000BD"/>
    <w:rsid w:val="00F03348"/>
    <w:rsid w:val="00F10157"/>
    <w:rsid w:val="00F124A0"/>
    <w:rsid w:val="00F26F31"/>
    <w:rsid w:val="00F336A0"/>
    <w:rsid w:val="00F612C7"/>
    <w:rsid w:val="00F661CE"/>
    <w:rsid w:val="00F770AB"/>
    <w:rsid w:val="00F8549C"/>
    <w:rsid w:val="00F95249"/>
    <w:rsid w:val="08982D5E"/>
    <w:rsid w:val="08B64FC7"/>
    <w:rsid w:val="0A0B3BE3"/>
    <w:rsid w:val="0DAF4CBF"/>
    <w:rsid w:val="114445FE"/>
    <w:rsid w:val="23B459BD"/>
    <w:rsid w:val="25770E79"/>
    <w:rsid w:val="262C322C"/>
    <w:rsid w:val="27A733D7"/>
    <w:rsid w:val="284E61C0"/>
    <w:rsid w:val="2AB23619"/>
    <w:rsid w:val="2D791B14"/>
    <w:rsid w:val="394655D5"/>
    <w:rsid w:val="39B2172F"/>
    <w:rsid w:val="3F7164BF"/>
    <w:rsid w:val="400D20DB"/>
    <w:rsid w:val="475742B2"/>
    <w:rsid w:val="493D249E"/>
    <w:rsid w:val="50E506E3"/>
    <w:rsid w:val="54A92785"/>
    <w:rsid w:val="5DDC41DB"/>
    <w:rsid w:val="60251198"/>
    <w:rsid w:val="62DF1863"/>
    <w:rsid w:val="6870608B"/>
    <w:rsid w:val="76C6643D"/>
    <w:rsid w:val="7FBC34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jc w:val="left"/>
      <w:outlineLvl w:val="1"/>
    </w:pPr>
    <w:rPr>
      <w:rFonts w:asciiTheme="minorEastAsia" w:hAnsiTheme="minorEastAsia" w:eastAsiaTheme="minorEastAsia"/>
    </w:rPr>
  </w:style>
  <w:style w:type="paragraph" w:styleId="4">
    <w:name w:val="heading 3"/>
    <w:basedOn w:val="1"/>
    <w:next w:val="1"/>
    <w:link w:val="25"/>
    <w:qFormat/>
    <w:uiPriority w:val="0"/>
    <w:pPr>
      <w:outlineLvl w:val="2"/>
    </w:pPr>
    <w:rPr>
      <w:rFonts w:asciiTheme="minorEastAsia" w:hAnsiTheme="minorEastAsia" w:eastAsiaTheme="minorEastAsia"/>
      <w:b/>
      <w:szCs w:val="21"/>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unhideWhenUsed/>
    <w:qFormat/>
    <w:uiPriority w:val="99"/>
    <w:pPr>
      <w:ind w:firstLine="420" w:firstLineChars="200"/>
    </w:pPr>
  </w:style>
  <w:style w:type="paragraph" w:styleId="6">
    <w:name w:val="Body Text"/>
    <w:basedOn w:val="1"/>
    <w:link w:val="34"/>
    <w:qFormat/>
    <w:uiPriority w:val="0"/>
    <w:pPr>
      <w:spacing w:after="120"/>
    </w:pPr>
    <w:rPr>
      <w:sz w:val="24"/>
    </w:rPr>
  </w:style>
  <w:style w:type="paragraph" w:styleId="7">
    <w:name w:val="toc 3"/>
    <w:basedOn w:val="1"/>
    <w:next w:val="1"/>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8">
    <w:name w:val="Date"/>
    <w:basedOn w:val="1"/>
    <w:next w:val="1"/>
    <w:link w:val="21"/>
    <w:unhideWhenUsed/>
    <w:qFormat/>
    <w:uiPriority w:val="99"/>
    <w:pPr>
      <w:ind w:left="100" w:leftChars="2500"/>
    </w:pPr>
  </w:style>
  <w:style w:type="paragraph" w:styleId="9">
    <w:name w:val="Balloon Text"/>
    <w:basedOn w:val="1"/>
    <w:link w:val="20"/>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widowControl/>
      <w:tabs>
        <w:tab w:val="right" w:leader="dot" w:pos="8296"/>
      </w:tabs>
      <w:spacing w:after="100" w:line="360" w:lineRule="exact"/>
      <w:jc w:val="left"/>
    </w:pPr>
    <w:rPr>
      <w:rFonts w:ascii="微软雅黑" w:hAnsi="微软雅黑" w:eastAsia="微软雅黑" w:cs="宋体"/>
      <w:b/>
      <w:kern w:val="0"/>
      <w:sz w:val="22"/>
      <w:szCs w:val="22"/>
    </w:rPr>
  </w:style>
  <w:style w:type="paragraph" w:styleId="13">
    <w:name w:val="List"/>
    <w:basedOn w:val="1"/>
    <w:unhideWhenUsed/>
    <w:qFormat/>
    <w:uiPriority w:val="99"/>
    <w:pPr>
      <w:ind w:left="200" w:hanging="200" w:hangingChars="200"/>
      <w:contextualSpacing/>
    </w:pPr>
  </w:style>
  <w:style w:type="paragraph" w:styleId="14">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15">
    <w:name w:val="HTML Preformatted"/>
    <w:basedOn w:val="1"/>
    <w:link w:val="3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仿宋" w:hAnsi="宋体" w:eastAsia="仿宋"/>
      <w:kern w:val="0"/>
    </w:rPr>
  </w:style>
  <w:style w:type="paragraph" w:styleId="1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9">
    <w:name w:val="Hyperlink"/>
    <w:basedOn w:val="18"/>
    <w:unhideWhenUsed/>
    <w:qFormat/>
    <w:uiPriority w:val="99"/>
    <w:rPr>
      <w:color w:val="0000FF" w:themeColor="hyperlink"/>
      <w:u w:val="single"/>
    </w:rPr>
  </w:style>
  <w:style w:type="character" w:customStyle="1" w:styleId="20">
    <w:name w:val="批注框文本 Char"/>
    <w:basedOn w:val="18"/>
    <w:link w:val="9"/>
    <w:semiHidden/>
    <w:qFormat/>
    <w:uiPriority w:val="99"/>
    <w:rPr>
      <w:kern w:val="2"/>
      <w:sz w:val="18"/>
      <w:szCs w:val="18"/>
    </w:rPr>
  </w:style>
  <w:style w:type="character" w:customStyle="1" w:styleId="21">
    <w:name w:val="日期 Char"/>
    <w:basedOn w:val="18"/>
    <w:link w:val="8"/>
    <w:semiHidden/>
    <w:qFormat/>
    <w:uiPriority w:val="99"/>
    <w:rPr>
      <w:kern w:val="2"/>
      <w:sz w:val="21"/>
      <w:szCs w:val="24"/>
    </w:rPr>
  </w:style>
  <w:style w:type="character" w:customStyle="1" w:styleId="22">
    <w:name w:val="页眉 Char"/>
    <w:basedOn w:val="18"/>
    <w:link w:val="11"/>
    <w:qFormat/>
    <w:uiPriority w:val="99"/>
    <w:rPr>
      <w:kern w:val="2"/>
      <w:sz w:val="18"/>
      <w:szCs w:val="18"/>
    </w:rPr>
  </w:style>
  <w:style w:type="character" w:customStyle="1" w:styleId="23">
    <w:name w:val="页脚 Char"/>
    <w:basedOn w:val="18"/>
    <w:link w:val="10"/>
    <w:qFormat/>
    <w:uiPriority w:val="99"/>
    <w:rPr>
      <w:kern w:val="2"/>
      <w:sz w:val="18"/>
      <w:szCs w:val="18"/>
    </w:rPr>
  </w:style>
  <w:style w:type="character" w:customStyle="1" w:styleId="24">
    <w:name w:val="标题 2 Char"/>
    <w:basedOn w:val="18"/>
    <w:link w:val="3"/>
    <w:qFormat/>
    <w:uiPriority w:val="0"/>
    <w:rPr>
      <w:rFonts w:asciiTheme="minorEastAsia" w:hAnsiTheme="minorEastAsia" w:eastAsiaTheme="minorEastAsia"/>
      <w:kern w:val="2"/>
      <w:sz w:val="21"/>
      <w:szCs w:val="24"/>
    </w:rPr>
  </w:style>
  <w:style w:type="character" w:customStyle="1" w:styleId="25">
    <w:name w:val="标题 3 Char"/>
    <w:basedOn w:val="18"/>
    <w:link w:val="4"/>
    <w:qFormat/>
    <w:uiPriority w:val="0"/>
    <w:rPr>
      <w:rFonts w:asciiTheme="minorEastAsia" w:hAnsiTheme="minorEastAsia" w:eastAsiaTheme="minorEastAsia"/>
      <w:b/>
      <w:kern w:val="2"/>
      <w:sz w:val="21"/>
      <w:szCs w:val="21"/>
    </w:rPr>
  </w:style>
  <w:style w:type="paragraph" w:customStyle="1" w:styleId="26">
    <w:name w:val="表格式"/>
    <w:basedOn w:val="13"/>
    <w:qFormat/>
    <w:uiPriority w:val="99"/>
    <w:pPr>
      <w:spacing w:beforeLines="50" w:afterLines="50" w:line="240" w:lineRule="exact"/>
      <w:ind w:left="0" w:firstLine="0" w:firstLineChars="0"/>
      <w:contextualSpacing w:val="0"/>
      <w:jc w:val="center"/>
    </w:pPr>
    <w:rPr>
      <w:szCs w:val="20"/>
    </w:rPr>
  </w:style>
  <w:style w:type="paragraph" w:customStyle="1" w:styleId="27">
    <w:name w:val="表头"/>
    <w:basedOn w:val="5"/>
    <w:qFormat/>
    <w:uiPriority w:val="99"/>
    <w:pPr>
      <w:adjustRightInd w:val="0"/>
      <w:snapToGrid w:val="0"/>
      <w:spacing w:beforeLines="100" w:afterLines="50" w:line="240" w:lineRule="atLeast"/>
      <w:ind w:firstLine="0" w:firstLineChars="0"/>
      <w:jc w:val="center"/>
    </w:pPr>
    <w:rPr>
      <w:rFonts w:ascii="宋体" w:hAnsi="宋体"/>
      <w:bCs/>
      <w:szCs w:val="21"/>
    </w:rPr>
  </w:style>
  <w:style w:type="paragraph" w:customStyle="1" w:styleId="28">
    <w:name w:val="列出段落1"/>
    <w:basedOn w:val="1"/>
    <w:qFormat/>
    <w:uiPriority w:val="34"/>
    <w:pPr>
      <w:ind w:firstLine="420" w:firstLineChars="200"/>
    </w:pPr>
  </w:style>
  <w:style w:type="paragraph" w:customStyle="1" w:styleId="2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0">
    <w:name w:val="标题 1 Char"/>
    <w:basedOn w:val="18"/>
    <w:link w:val="2"/>
    <w:qFormat/>
    <w:uiPriority w:val="0"/>
    <w:rPr>
      <w:b/>
      <w:bCs/>
      <w:kern w:val="44"/>
      <w:sz w:val="44"/>
      <w:szCs w:val="44"/>
    </w:rPr>
  </w:style>
  <w:style w:type="paragraph" w:customStyle="1" w:styleId="3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2">
    <w:name w:val="txt_font"/>
    <w:basedOn w:val="1"/>
    <w:qFormat/>
    <w:uiPriority w:val="99"/>
    <w:pPr>
      <w:widowControl/>
      <w:spacing w:before="270" w:after="270" w:line="300" w:lineRule="atLeast"/>
      <w:ind w:left="270" w:right="270"/>
      <w:jc w:val="left"/>
    </w:pPr>
    <w:rPr>
      <w:rFonts w:ascii="宋体" w:hAnsi="宋体" w:cs="宋体"/>
      <w:kern w:val="0"/>
      <w:sz w:val="24"/>
    </w:rPr>
  </w:style>
  <w:style w:type="paragraph" w:customStyle="1" w:styleId="33">
    <w:name w:val="无间隔1"/>
    <w:qFormat/>
    <w:uiPriority w:val="0"/>
    <w:pPr>
      <w:widowControl w:val="0"/>
      <w:jc w:val="both"/>
    </w:pPr>
    <w:rPr>
      <w:rFonts w:ascii="Calibri" w:hAnsi="Calibri" w:eastAsia="宋体" w:cs="Times New Roman"/>
      <w:kern w:val="2"/>
      <w:sz w:val="21"/>
      <w:lang w:val="en-US" w:eastAsia="zh-CN" w:bidi="ar-SA"/>
    </w:rPr>
  </w:style>
  <w:style w:type="character" w:customStyle="1" w:styleId="34">
    <w:name w:val="正文文本 Char"/>
    <w:basedOn w:val="18"/>
    <w:link w:val="6"/>
    <w:qFormat/>
    <w:uiPriority w:val="0"/>
    <w:rPr>
      <w:kern w:val="2"/>
      <w:sz w:val="24"/>
      <w:szCs w:val="24"/>
    </w:rPr>
  </w:style>
  <w:style w:type="paragraph" w:customStyle="1" w:styleId="35">
    <w:name w:val="列出段落2"/>
    <w:basedOn w:val="1"/>
    <w:qFormat/>
    <w:uiPriority w:val="0"/>
    <w:pPr>
      <w:ind w:firstLine="420" w:firstLineChars="200"/>
    </w:pPr>
    <w:rPr>
      <w:rFonts w:ascii="Calibri" w:hAnsi="Calibri" w:cs="Arial"/>
      <w:sz w:val="24"/>
      <w:szCs w:val="22"/>
    </w:rPr>
  </w:style>
  <w:style w:type="character" w:customStyle="1" w:styleId="36">
    <w:name w:val="HTML 预设格式 Char"/>
    <w:basedOn w:val="18"/>
    <w:link w:val="15"/>
    <w:qFormat/>
    <w:uiPriority w:val="99"/>
    <w:rPr>
      <w:rFonts w:ascii="仿宋" w:hAnsi="宋体" w:eastAsia="仿宋"/>
      <w:sz w:val="21"/>
      <w:szCs w:val="24"/>
    </w:rPr>
  </w:style>
  <w:style w:type="paragraph" w:customStyle="1" w:styleId="37">
    <w:name w:val="默认"/>
    <w:qFormat/>
    <w:uiPriority w:val="0"/>
    <w:rPr>
      <w:rFonts w:hint="eastAsia" w:ascii="Arial Unicode MS" w:hAnsi="Arial Unicode MS" w:eastAsia="Helvetica Neue" w:cs="Arial Unicode MS"/>
      <w:color w:val="000000"/>
      <w:sz w:val="22"/>
      <w:szCs w:val="22"/>
      <w:lang w:val="zh-CN" w:eastAsia="zh-CN" w:bidi="ar-SA"/>
    </w:rPr>
  </w:style>
  <w:style w:type="character" w:customStyle="1" w:styleId="38">
    <w:name w:val="无"/>
    <w:qFormat/>
    <w:uiPriority w:val="0"/>
    <w:rPr>
      <w:lang w:val="zh-TW"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809F-0123-4FC3-93C2-C51DD1C359C1}">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6006</Words>
  <Characters>6070</Characters>
  <Lines>50</Lines>
  <Paragraphs>14</Paragraphs>
  <TotalTime>46</TotalTime>
  <ScaleCrop>false</ScaleCrop>
  <LinksUpToDate>false</LinksUpToDate>
  <CharactersWithSpaces>6087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2022-08-08T00:55:00Z</dcterms:created>
  <dc:creator>tangm_12345</dc:creator>
  <cp:lastModifiedBy>柳絮英姿</cp:lastModifiedBy>
  <dcterms:modified xsi:type="dcterms:W3CDTF">2024-10-23T02:37:13Z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A615C634C8B0468EB703492144049F70_13</vt:lpwstr>
  </property>
</Properties>
</file>